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getting-it-all-in-one-place"/>
    <w:p>
      <w:pPr>
        <w:pStyle w:val="Heading1"/>
      </w:pPr>
      <w:r>
        <w:t xml:space="preserve">Getting it all in one place</w:t>
      </w:r>
    </w:p>
    <w:p>
      <w:pPr>
        <w:pStyle w:val="FirstParagraph"/>
      </w:pPr>
      <w:r>
        <w:t xml:space="preserve">Right now your church’s operational knowledge is in a spreadsheet somebody made</w:t>
      </w:r>
      <w:r>
        <w:t xml:space="preserve"> </w:t>
      </w:r>
      <w:r>
        <w:t xml:space="preserve">in 2019, a folder on the last administrator’s laptop, three people’s memories,</w:t>
      </w:r>
      <w:r>
        <w:t xml:space="preserve"> </w:t>
      </w:r>
      <w:r>
        <w:t xml:space="preserve">and a filing cabinet nobody has fully opened. Consolidating that sounds like a</w:t>
      </w:r>
      <w:r>
        <w:t xml:space="preserve"> </w:t>
      </w:r>
      <w:r>
        <w:t xml:space="preserve">six-month project, which is why it never starts. It isn’t. The first useful</w:t>
      </w:r>
      <w:r>
        <w:t xml:space="preserve"> </w:t>
      </w:r>
      <w:r>
        <w:t xml:space="preserve">version takes about ninety minutes, and an incomplete register beats a perfect</w:t>
      </w:r>
      <w:r>
        <w:t xml:space="preserve"> </w:t>
      </w:r>
      <w:r>
        <w:t xml:space="preserve">one you never began.</w:t>
      </w:r>
    </w:p>
    <w:bookmarkStart w:id="9" w:name="before-you-start"/>
    <w:p>
      <w:pPr>
        <w:pStyle w:val="Heading2"/>
      </w:pPr>
      <w:r>
        <w:t xml:space="preserve">Before you start</w:t>
      </w:r>
    </w:p>
    <w:p>
      <w:pPr>
        <w:pStyle w:val="FirstParagraph"/>
      </w:pPr>
      <w:r>
        <w:rPr>
          <w:b/>
          <w:bCs/>
        </w:rPr>
        <w:t xml:space="preserve">The mindset that makes this possible.</w:t>
      </w:r>
      <w:r>
        <w:t xml:space="preserve"> </w:t>
      </w:r>
      <w:r>
        <w:t xml:space="preserve">You are not building a complete</w:t>
      </w:r>
      <w:r>
        <w:t xml:space="preserve"> </w:t>
      </w:r>
      <w:r>
        <w:t xml:space="preserve">record. You are building a</w:t>
      </w:r>
      <w:r>
        <w:t xml:space="preserve"> </w:t>
      </w:r>
      <w:r>
        <w:rPr>
          <w:b/>
          <w:bCs/>
        </w:rPr>
        <w:t xml:space="preserve">map</w:t>
      </w:r>
      <w:r>
        <w:t xml:space="preserve">, and a map with blank areas is still a map —</w:t>
      </w:r>
      <w:r>
        <w:t xml:space="preserve"> </w:t>
      </w:r>
      <w:r>
        <w:t xml:space="preserve">the blanks are the point, because they show you what nobody knows.</w:t>
      </w:r>
    </w:p>
    <w:p>
      <w:pPr>
        <w:pStyle w:val="BodyText"/>
      </w:pPr>
      <w:r>
        <w:rPr>
          <w:b/>
          <w:bCs/>
        </w:rPr>
        <w:t xml:space="preserve">Three rules that keep it from becoming daunting: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Never collect passwords.</w:t>
      </w:r>
      <w:r>
        <w:t xml:space="preserve"> </w:t>
      </w:r>
      <w:r>
        <w:t xml:space="preserve">You’re recording where things live and who holds</w:t>
      </w:r>
      <w:r>
        <w:t xml:space="preserve"> </w:t>
      </w:r>
      <w:r>
        <w:t xml:space="preserve">them, not the secrets themselves. That single decision removes most of the</w:t>
      </w:r>
      <w:r>
        <w:t xml:space="preserve"> </w:t>
      </w:r>
      <w:r>
        <w:t xml:space="preserve">security risk and most of the anxiety, and it means you can do this in a</w:t>
      </w:r>
      <w:r>
        <w:t xml:space="preserve"> </w:t>
      </w:r>
      <w:r>
        <w:t xml:space="preserve">normal room with normal people.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Blank is an answer.</w:t>
      </w:r>
      <w:r>
        <w:t xml:space="preserve"> </w:t>
      </w:r>
      <w:r>
        <w:t xml:space="preserve">“We don’t know who owns this”</w:t>
      </w:r>
      <w:r>
        <w:t xml:space="preserve"> </w:t>
      </w:r>
      <w:r>
        <w:t xml:space="preserve">is real information and</w:t>
      </w:r>
      <w:r>
        <w:t xml:space="preserve"> </w:t>
      </w:r>
      <w:r>
        <w:t xml:space="preserve">belongs in the record. Writing</w:t>
      </w:r>
      <w:r>
        <w:t xml:space="preserve"> </w:t>
      </w:r>
      <w:r>
        <w:t xml:space="preserve">“unknown”</w:t>
      </w:r>
      <w:r>
        <w:t xml:space="preserve"> </w:t>
      </w:r>
      <w:r>
        <w:t xml:space="preserve">is progress.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Timebox it.</w:t>
      </w:r>
      <w:r>
        <w:t xml:space="preserve"> </w:t>
      </w:r>
      <w:r>
        <w:t xml:space="preserve">Ninety minutes now, another hour in a month. A project with</w:t>
      </w:r>
      <w:r>
        <w:t xml:space="preserve"> </w:t>
      </w:r>
      <w:r>
        <w:t xml:space="preserve">an end time gets started.</w:t>
      </w:r>
    </w:p>
    <w:p>
      <w:pPr>
        <w:pStyle w:val="FirstParagraph"/>
      </w:pPr>
      <w:r>
        <w:rPr>
          <w:b/>
          <w:bCs/>
        </w:rPr>
        <w:t xml:space="preserve">Who owns it.</w:t>
      </w:r>
      <w:r>
        <w:t xml:space="preserve"> </w:t>
      </w:r>
      <w:r>
        <w:t xml:space="preserve">One named person. The Discipline already assigns the charge</w:t>
      </w:r>
      <w:r>
        <w:t xml:space="preserve"> </w:t>
      </w:r>
      <w:r>
        <w:t xml:space="preserve">conference’s recording secretary custody of the church’s records and reports</w:t>
      </w:r>
      <w:r>
        <w:t xml:space="preserve"> </w:t>
      </w:r>
      <w:r>
        <w:t xml:space="preserve">(¶247.4), and trustees hold the property side (¶2533) — but for the operational</w:t>
      </w:r>
      <w:r>
        <w:t xml:space="preserve"> </w:t>
      </w:r>
      <w:r>
        <w:t xml:space="preserve">map, name someone specific: usually the office administrator, or the pastor in a</w:t>
      </w:r>
      <w:r>
        <w:t xml:space="preserve"> </w:t>
      </w:r>
      <w:r>
        <w:t xml:space="preserve">church without one.</w:t>
      </w:r>
    </w:p>
    <w:p>
      <w:pPr>
        <w:pStyle w:val="BodyText"/>
      </w:pPr>
      <w:r>
        <w:rPr>
          <w:b/>
          <w:bCs/>
        </w:rPr>
        <w:t xml:space="preserve">What you’ll need in the room.</w:t>
      </w:r>
      <w:r>
        <w:t xml:space="preserve"> </w:t>
      </w:r>
      <w:r>
        <w:t xml:space="preserve">Last year’s bank and credit-card statements,</w:t>
      </w:r>
      <w:r>
        <w:t xml:space="preserve"> </w:t>
      </w:r>
      <w:r>
        <w:t xml:space="preserve">access to the church email inbox, and one other person who’s been around a</w:t>
      </w:r>
      <w:r>
        <w:t xml:space="preserve"> </w:t>
      </w:r>
      <w:r>
        <w:t xml:space="preserve">while. That’s genuinely it.</w:t>
      </w:r>
    </w:p>
    <w:bookmarkEnd w:id="9"/>
    <w:bookmarkStart w:id="16" w:name="the-workflow"/>
    <w:p>
      <w:pPr>
        <w:pStyle w:val="Heading2"/>
      </w:pPr>
      <w:r>
        <w:t xml:space="preserve">The workflow</w:t>
      </w:r>
    </w:p>
    <w:bookmarkStart w:id="10" w:name="Xa7ee9e20a0997b93b3cc60d9be5aa9a79e17330"/>
    <w:p>
      <w:pPr>
        <w:pStyle w:val="Heading3"/>
      </w:pPr>
      <w:r>
        <w:t xml:space="preserve">Phase 1 — Ninety minutes, from memory (do this first)</w:t>
      </w:r>
    </w:p>
    <w:p>
      <w:pPr>
        <w:pStyle w:val="FirstParagraph"/>
      </w:pPr>
      <w:r>
        <w:t xml:space="preserve">Sit down with one other person and write down what you already know. Don’t look</w:t>
      </w:r>
      <w:r>
        <w:t xml:space="preserve"> </w:t>
      </w:r>
      <w:r>
        <w:t xml:space="preserve">anything up yet; you’ll lose the momentum.</w:t>
      </w:r>
    </w:p>
    <w:p>
      <w:pPr>
        <w:pStyle w:val="Compact"/>
        <w:numPr>
          <w:ilvl w:val="0"/>
          <w:numId w:val="1002"/>
        </w:numPr>
      </w:pPr>
      <w:r>
        <w:t xml:space="preserve">The accounts you can name off the top of your head — email, Facebook,</w:t>
      </w:r>
      <w:r>
        <w:t xml:space="preserve"> </w:t>
      </w:r>
      <w:r>
        <w:t xml:space="preserve">bank, website, whatever the church uses.</w:t>
      </w:r>
    </w:p>
    <w:p>
      <w:pPr>
        <w:pStyle w:val="Compact"/>
        <w:numPr>
          <w:ilvl w:val="0"/>
          <w:numId w:val="1003"/>
        </w:numPr>
      </w:pPr>
      <w:r>
        <w:t xml:space="preserve">For each: who you</w:t>
      </w:r>
      <w:r>
        <w:t xml:space="preserve"> </w:t>
      </w:r>
      <w:r>
        <w:rPr>
          <w:i/>
          <w:iCs/>
        </w:rPr>
        <w:t xml:space="preserve">think</w:t>
      </w:r>
      <w:r>
        <w:t xml:space="preserve"> </w:t>
      </w:r>
      <w:r>
        <w:t xml:space="preserve">owns it, and who you’d call if it broke.</w:t>
      </w:r>
    </w:p>
    <w:p>
      <w:pPr>
        <w:pStyle w:val="Compact"/>
        <w:numPr>
          <w:ilvl w:val="0"/>
          <w:numId w:val="1004"/>
        </w:numPr>
      </w:pPr>
      <w:r>
        <w:t xml:space="preserve">The standing facts a newcomer wouldn’t know: who opens the building, when</w:t>
      </w:r>
      <w:r>
        <w:t xml:space="preserve"> </w:t>
      </w:r>
      <w:r>
        <w:t xml:space="preserve">the council meets, which week the newsletter goes out.</w:t>
      </w:r>
    </w:p>
    <w:p>
      <w:pPr>
        <w:pStyle w:val="Compact"/>
        <w:numPr>
          <w:ilvl w:val="0"/>
          <w:numId w:val="1005"/>
        </w:numPr>
      </w:pPr>
      <w:r>
        <w:t xml:space="preserve">Where the important documents physically are — the deed, the minutes, the</w:t>
      </w:r>
      <w:r>
        <w:t xml:space="preserve"> </w:t>
      </w:r>
      <w:r>
        <w:t xml:space="preserve">insurance policy.</w:t>
      </w:r>
    </w:p>
    <w:p>
      <w:pPr>
        <w:pStyle w:val="FirstParagraph"/>
      </w:pPr>
      <w:r>
        <w:t xml:space="preserve">You will have gaps. Good. Write</w:t>
      </w:r>
      <w:r>
        <w:t xml:space="preserve"> </w:t>
      </w:r>
      <w:r>
        <w:t xml:space="preserve">“unknown”</w:t>
      </w:r>
      <w:r>
        <w:t xml:space="preserve"> </w:t>
      </w:r>
      <w:r>
        <w:t xml:space="preserve">and move on.</w:t>
      </w:r>
      <w:r>
        <w:t xml:space="preserve"> </w:t>
      </w:r>
      <w:r>
        <w:rPr>
          <w:b/>
          <w:bCs/>
        </w:rPr>
        <w:t xml:space="preserve">Stop at ninety</w:t>
      </w:r>
      <w:r>
        <w:rPr>
          <w:b/>
          <w:bCs/>
        </w:rPr>
        <w:t xml:space="preserve"> </w:t>
      </w:r>
      <w:r>
        <w:rPr>
          <w:b/>
          <w:bCs/>
        </w:rPr>
        <w:t xml:space="preserve">minutes.</w:t>
      </w:r>
    </w:p>
    <w:bookmarkEnd w:id="10"/>
    <w:bookmarkStart w:id="11" w:name="phase-2-follow-the-money"/>
    <w:p>
      <w:pPr>
        <w:pStyle w:val="Heading3"/>
      </w:pPr>
      <w:r>
        <w:t xml:space="preserve">Phase 2 — Follow the money</w:t>
      </w:r>
    </w:p>
    <w:p>
      <w:pPr>
        <w:pStyle w:val="FirstParagraph"/>
      </w:pPr>
      <w:r>
        <w:t xml:space="preserve">This is the step that finds what memory misses, and it’s the most satisfying</w:t>
      </w:r>
      <w:r>
        <w:t xml:space="preserve"> </w:t>
      </w:r>
      <w:r>
        <w:t xml:space="preserve">hour in the whole process.</w:t>
      </w:r>
    </w:p>
    <w:p>
      <w:pPr>
        <w:pStyle w:val="Compact"/>
        <w:numPr>
          <w:ilvl w:val="0"/>
          <w:numId w:val="1006"/>
        </w:numPr>
      </w:pPr>
      <w:r>
        <w:t xml:space="preserve">Go through twelve months of bank and credit-card statements line by line.</w:t>
      </w:r>
      <w:r>
        <w:t xml:space="preserve"> </w:t>
      </w:r>
      <w:r>
        <w:t xml:space="preserve">Every recurring charge is an account somebody set up: the domain renewal,</w:t>
      </w:r>
      <w:r>
        <w:t xml:space="preserve"> </w:t>
      </w:r>
      <w:r>
        <w:t xml:space="preserve">the streaming subscription, the design tool, the licensing fee.</w:t>
      </w:r>
    </w:p>
    <w:p>
      <w:pPr>
        <w:pStyle w:val="Compact"/>
        <w:numPr>
          <w:ilvl w:val="0"/>
          <w:numId w:val="1007"/>
        </w:numPr>
      </w:pPr>
      <w:r>
        <w:t xml:space="preserve">Search the church email inbox for</w:t>
      </w:r>
      <w:r>
        <w:t xml:space="preserve"> </w:t>
      </w:r>
      <w:r>
        <w:rPr>
          <w:i/>
          <w:iCs/>
        </w:rPr>
        <w:t xml:space="preserve">receipt</w:t>
      </w:r>
      <w:r>
        <w:t xml:space="preserve">,</w:t>
      </w:r>
      <w:r>
        <w:t xml:space="preserve"> </w:t>
      </w:r>
      <w:r>
        <w:rPr>
          <w:i/>
          <w:iCs/>
        </w:rPr>
        <w:t xml:space="preserve">renewal</w:t>
      </w:r>
      <w:r>
        <w:t xml:space="preserve">,</w:t>
      </w:r>
      <w:r>
        <w:t xml:space="preserve"> </w:t>
      </w:r>
      <w:r>
        <w:rPr>
          <w:i/>
          <w:iCs/>
        </w:rPr>
        <w:t xml:space="preserve">your</w:t>
      </w:r>
      <w:r>
        <w:rPr>
          <w:i/>
          <w:iCs/>
        </w:rPr>
        <w:t xml:space="preserve"> </w:t>
      </w:r>
      <w:r>
        <w:rPr>
          <w:i/>
          <w:iCs/>
        </w:rPr>
        <w:t xml:space="preserve">subscription</w:t>
      </w:r>
      <w:r>
        <w:t xml:space="preserve">,</w:t>
      </w:r>
      <w:r>
        <w:t xml:space="preserve"> </w:t>
      </w:r>
      <w:r>
        <w:rPr>
          <w:i/>
          <w:iCs/>
        </w:rPr>
        <w:t xml:space="preserve">invoice</w:t>
      </w:r>
      <w:r>
        <w:t xml:space="preserve">,</w:t>
      </w:r>
      <w:r>
        <w:t xml:space="preserve"> </w:t>
      </w:r>
      <w:r>
        <w:rPr>
          <w:i/>
          <w:iCs/>
        </w:rPr>
        <w:t xml:space="preserve">welcome to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Check the church’s calendar and website footer for services nobody</w:t>
      </w:r>
      <w:r>
        <w:t xml:space="preserve"> </w:t>
      </w:r>
      <w:r>
        <w:t xml:space="preserve">mentioned.</w:t>
      </w:r>
    </w:p>
    <w:p>
      <w:pPr>
        <w:pStyle w:val="FirstParagraph"/>
      </w:pPr>
      <w:r>
        <w:t xml:space="preserve">Nearly every church finds something in this phase that no living person</w:t>
      </w:r>
      <w:r>
        <w:t xml:space="preserve"> </w:t>
      </w:r>
      <w:r>
        <w:t xml:space="preserve">remembered — and it’s usually still being paid for.</w:t>
      </w:r>
    </w:p>
    <w:bookmarkEnd w:id="11"/>
    <w:bookmarkStart w:id="12" w:name="phase-3-ask-everyone-briefly"/>
    <w:p>
      <w:pPr>
        <w:pStyle w:val="Heading3"/>
      </w:pPr>
      <w:r>
        <w:t xml:space="preserve">Phase 3 — Ask everyone, briefly</w:t>
      </w:r>
    </w:p>
    <w:p>
      <w:pPr>
        <w:pStyle w:val="FirstParagraph"/>
      </w:pPr>
      <w:r>
        <w:t xml:space="preserve">Send one short email to staff and key volunteers. Long requests get ignored;</w:t>
      </w:r>
      <w:r>
        <w:t xml:space="preserve"> </w:t>
      </w:r>
      <w:r>
        <w:t xml:space="preserve">this one takes ninety seconds to answer.</w:t>
      </w:r>
    </w:p>
    <w:p>
      <w:pPr>
        <w:pStyle w:val="BlockText"/>
      </w:pPr>
      <w:r>
        <w:rPr>
          <w:b/>
          <w:bCs/>
        </w:rPr>
        <w:t xml:space="preserve">Subject:</w:t>
      </w:r>
      <w:r>
        <w:t xml:space="preserve"> </w:t>
      </w:r>
      <w:r>
        <w:t xml:space="preserve">Two questions, 90 seconds</w:t>
      </w:r>
    </w:p>
    <w:p>
      <w:pPr>
        <w:pStyle w:val="BlockText"/>
      </w:pPr>
      <w:r>
        <w:t xml:space="preserve">We’re putting together one list of the church’s accounts and where things</w:t>
      </w:r>
      <w:r>
        <w:t xml:space="preserve"> </w:t>
      </w:r>
      <w:r>
        <w:t xml:space="preserve">live, so nobody has to reconstruct it from scratch later. Two questions:</w:t>
      </w:r>
    </w:p>
    <w:p>
      <w:pPr>
        <w:pStyle w:val="Compact"/>
        <w:numPr>
          <w:ilvl w:val="0"/>
          <w:numId w:val="1009"/>
        </w:numPr>
      </w:pPr>
      <w:r>
        <w:t xml:space="preserve">What church accounts or logins do you use?</w:t>
      </w:r>
    </w:p>
    <w:p>
      <w:pPr>
        <w:pStyle w:val="Compact"/>
        <w:numPr>
          <w:ilvl w:val="0"/>
          <w:numId w:val="1009"/>
        </w:numPr>
      </w:pPr>
      <w:r>
        <w:t xml:space="preserve">Is there anything you do that would be hard for someone else to pick up if</w:t>
      </w:r>
      <w:r>
        <w:t xml:space="preserve"> </w:t>
      </w:r>
      <w:r>
        <w:t xml:space="preserve">you were away for a month?</w:t>
      </w:r>
    </w:p>
    <w:p>
      <w:pPr>
        <w:pStyle w:val="BlockText"/>
      </w:pPr>
      <w:r>
        <w:rPr>
          <w:b/>
          <w:bCs/>
        </w:rPr>
        <w:t xml:space="preserve">Please don’t send passwords</w:t>
      </w:r>
      <w:r>
        <w:t xml:space="preserve"> </w:t>
      </w:r>
      <w:r>
        <w:t xml:space="preserve">— just names. Thanks.</w:t>
      </w:r>
    </w:p>
    <w:p>
      <w:pPr>
        <w:pStyle w:val="BlockText"/>
      </w:pPr>
      <w:r>
        <w:t xml:space="preserve">— [name]</w:t>
      </w:r>
    </w:p>
    <w:p>
      <w:pPr>
        <w:pStyle w:val="FirstParagraph"/>
      </w:pPr>
      <w:r>
        <w:t xml:space="preserve">That second question is the valuable one. It surfaces the unwritten routines</w:t>
      </w:r>
      <w:r>
        <w:t xml:space="preserve"> </w:t>
      </w:r>
      <w:r>
        <w:t xml:space="preserve">that make a church run, and people answer it honestly because it flatters</w:t>
      </w:r>
      <w:r>
        <w:t xml:space="preserve"> </w:t>
      </w:r>
      <w:r>
        <w:t xml:space="preserve">nobody and blames nobody.</w:t>
      </w:r>
    </w:p>
    <w:bookmarkEnd w:id="12"/>
    <w:bookmarkStart w:id="14" w:name="phase-4-sort-by-what-would-actually-hurt"/>
    <w:p>
      <w:pPr>
        <w:pStyle w:val="Heading3"/>
      </w:pPr>
      <w:r>
        <w:t xml:space="preserve">Phase 4 — Sort by what would actually hurt</w:t>
      </w:r>
    </w:p>
    <w:p>
      <w:pPr>
        <w:pStyle w:val="FirstParagraph"/>
      </w:pPr>
      <w:r>
        <w:t xml:space="preserve">Now you have a messy list. Order it once, and the rest gets easy: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Would we be locked out?</w:t>
      </w:r>
      <w:r>
        <w:t xml:space="preserve"> </w:t>
      </w:r>
      <w:r>
        <w:t xml:space="preserve">Accounts where the two-factor codes go to one</w:t>
      </w:r>
      <w:r>
        <w:t xml:space="preserve"> </w:t>
      </w:r>
      <w:r>
        <w:t xml:space="preserve">person’s phone. Fix these first — see</w:t>
      </w:r>
      <w:r>
        <w:t xml:space="preserve"> </w:t>
      </w:r>
      <w:hyperlink r:id="rId13">
        <w:r>
          <w:rPr>
            <w:rStyle w:val="Hyperlink"/>
          </w:rPr>
          <w:t xml:space="preserve">two-factor codes that don’t leave with the person</w:t>
        </w:r>
      </w:hyperlink>
      <w:r>
        <w:t xml:space="preserve">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Does it cost money?</w:t>
      </w:r>
      <w:r>
        <w:t xml:space="preserve"> </w:t>
      </w:r>
      <w:r>
        <w:t xml:space="preserve">Anything with a renewal date, so nothing lapses or</w:t>
      </w:r>
      <w:r>
        <w:t xml:space="preserve"> </w:t>
      </w:r>
      <w:r>
        <w:t xml:space="preserve">quietly auto-renews forever.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Would a new person be stuck?</w:t>
      </w:r>
      <w:r>
        <w:t xml:space="preserve"> </w:t>
      </w:r>
      <w:r>
        <w:t xml:space="preserve">The routines and rhythms from Phase 1.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Everything else.</w:t>
      </w:r>
      <w:r>
        <w:t xml:space="preserve"> </w:t>
      </w:r>
      <w:r>
        <w:t xml:space="preserve">Genuinely fine to leave for later.</w:t>
      </w:r>
    </w:p>
    <w:bookmarkEnd w:id="14"/>
    <w:bookmarkStart w:id="15" w:name="phase-5-make-it-the-normal-way"/>
    <w:p>
      <w:pPr>
        <w:pStyle w:val="Heading3"/>
      </w:pPr>
      <w:r>
        <w:t xml:space="preserve">Phase 5 — Make it the normal way</w:t>
      </w:r>
    </w:p>
    <w:p>
      <w:pPr>
        <w:pStyle w:val="FirstParagraph"/>
      </w:pPr>
      <w:r>
        <w:t xml:space="preserve">A one-off cleanup decays within a year. Three small habits keep it alive: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New account, new entry.</w:t>
      </w:r>
      <w:r>
        <w:t xml:space="preserve"> </w:t>
      </w:r>
      <w:r>
        <w:t xml:space="preserve">Whoever sets one up records it the same day.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Someone leaves, someone checks.</w:t>
      </w:r>
      <w:r>
        <w:t xml:space="preserve"> </w:t>
      </w:r>
      <w:r>
        <w:t xml:space="preserve">Departure means walking the register:</w:t>
      </w:r>
      <w:r>
        <w:t xml:space="preserve"> </w:t>
      </w:r>
      <w:r>
        <w:t xml:space="preserve">what did they hold, what moves, what gets removed.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Once a year, in the same month.</w:t>
      </w:r>
      <w:r>
        <w:t xml:space="preserve"> </w:t>
      </w:r>
      <w:r>
        <w:t xml:space="preserve">Ride along with the trustees’</w:t>
      </w:r>
      <w:r>
        <w:t xml:space="preserve"> </w:t>
      </w:r>
      <w:r>
        <w:t xml:space="preserve">insurance review (¶2533.2) or charge conference prep — it takes half an</w:t>
      </w:r>
      <w:r>
        <w:t xml:space="preserve"> </w:t>
      </w:r>
      <w:r>
        <w:t xml:space="preserve">hour when it’s current.</w:t>
      </w:r>
    </w:p>
    <w:bookmarkEnd w:id="15"/>
    <w:bookmarkEnd w:id="16"/>
    <w:bookmarkStart w:id="17" w:name="who-does-what"/>
    <w:p>
      <w:pPr>
        <w:pStyle w:val="Heading2"/>
      </w:pPr>
      <w:r>
        <w:t xml:space="preserve">Who does what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Task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Holding the map</w:t>
            </w:r>
          </w:p>
        </w:tc>
        <w:tc>
          <w:tcPr/>
          <w:p>
            <w:pPr>
              <w:pStyle w:val="Compact"/>
            </w:pPr>
            <w:r>
              <w:t xml:space="preserve">One named person — office administrator or pastor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Statement review</w:t>
            </w:r>
          </w:p>
        </w:tc>
        <w:tc>
          <w:tcPr/>
          <w:p>
            <w:pPr>
              <w:pStyle w:val="Compact"/>
            </w:pPr>
            <w:r>
              <w:t xml:space="preserve">Treasurer or bookkeeper, with the record-keeper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Property, deed, insurance records</w:t>
            </w:r>
          </w:p>
        </w:tc>
        <w:tc>
          <w:tcPr/>
          <w:p>
            <w:pPr>
              <w:pStyle w:val="Compact"/>
            </w:pPr>
            <w:r>
              <w:t xml:space="preserve">Trustees (¶2533)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Charge conference records and minutes</w:t>
            </w:r>
          </w:p>
        </w:tc>
        <w:tc>
          <w:tcPr/>
          <w:p>
            <w:pPr>
              <w:pStyle w:val="Compact"/>
            </w:pPr>
            <w:r>
              <w:t xml:space="preserve">Recording secretary (¶247.4)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Asking staff and volunteers</w:t>
            </w:r>
          </w:p>
        </w:tc>
        <w:tc>
          <w:tcPr/>
          <w:p>
            <w:pPr>
              <w:pStyle w:val="Compact"/>
            </w:pPr>
            <w:r>
              <w:t xml:space="preserve">Pastor or SPRC chair — it lands better from them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 annual check</w:t>
            </w:r>
          </w:p>
        </w:tc>
        <w:tc>
          <w:tcPr/>
          <w:p>
            <w:pPr>
              <w:pStyle w:val="Compact"/>
            </w:pPr>
            <w:r>
              <w:t xml:space="preserve">Whoever holds the map</w:t>
            </w:r>
          </w:p>
        </w:tc>
      </w:tr>
    </w:tbl>
    <w:bookmarkEnd w:id="17"/>
    <w:bookmarkStart w:id="18" w:name="variations"/>
    <w:p>
      <w:pPr>
        <w:pStyle w:val="Heading2"/>
      </w:pPr>
      <w:r>
        <w:t xml:space="preserve">Variations</w:t>
      </w:r>
    </w:p>
    <w:p>
      <w:pPr>
        <w:pStyle w:val="FirstParagraph"/>
      </w:pPr>
      <w:r>
        <w:rPr>
          <w:b/>
          <w:bCs/>
        </w:rPr>
        <w:t xml:space="preserve">A church with a spreadsheet already.</w:t>
      </w:r>
      <w:r>
        <w:t xml:space="preserve"> </w:t>
      </w:r>
      <w:r>
        <w:t xml:space="preserve">You’re ahead. Don’t retype it — start</w:t>
      </w:r>
      <w:r>
        <w:t xml:space="preserve"> </w:t>
      </w:r>
      <w:r>
        <w:t xml:space="preserve">from it, then run Phase 2 anyway, because statements always reveal things the</w:t>
      </w:r>
      <w:r>
        <w:t xml:space="preserve"> </w:t>
      </w:r>
      <w:r>
        <w:t xml:space="preserve">spreadsheet’s author didn’t know about.</w:t>
      </w:r>
    </w:p>
    <w:p>
      <w:pPr>
        <w:pStyle w:val="BodyText"/>
      </w:pPr>
      <w:r>
        <w:rPr>
          <w:b/>
          <w:bCs/>
        </w:rPr>
        <w:t xml:space="preserve">A church with nothing at all.</w:t>
      </w:r>
      <w:r>
        <w:t xml:space="preserve"> </w:t>
      </w:r>
      <w:r>
        <w:t xml:space="preserve">Also fine, and in some ways easier: no</w:t>
      </w:r>
      <w:r>
        <w:t xml:space="preserve"> </w:t>
      </w:r>
      <w:r>
        <w:t xml:space="preserve">inherited errors to inherit. Do Phase 1 and stop. One page of what you know is</w:t>
      </w:r>
      <w:r>
        <w:t xml:space="preserve"> </w:t>
      </w:r>
      <w:r>
        <w:t xml:space="preserve">a genuine improvement over nothing.</w:t>
      </w:r>
    </w:p>
    <w:p>
      <w:pPr>
        <w:pStyle w:val="BodyText"/>
      </w:pPr>
      <w:r>
        <w:rPr>
          <w:b/>
          <w:bCs/>
        </w:rPr>
        <w:t xml:space="preserve">A church whose last administrator left abruptly.</w:t>
      </w:r>
      <w:r>
        <w:t xml:space="preserve"> </w:t>
      </w:r>
      <w:r>
        <w:t xml:space="preserve">Start with Phase 2 —</w:t>
      </w:r>
      <w:r>
        <w:t xml:space="preserve"> </w:t>
      </w:r>
      <w:r>
        <w:t xml:space="preserve">statements don’t depend on anyone’s memory. Then check whether the church can</w:t>
      </w:r>
      <w:r>
        <w:t xml:space="preserve"> </w:t>
      </w:r>
      <w:r>
        <w:t xml:space="preserve">get into its own email; if not, that’s the first phone call, and the recovery</w:t>
      </w:r>
      <w:r>
        <w:t xml:space="preserve"> </w:t>
      </w:r>
      <w:r>
        <w:t xml:space="preserve">process is easier the sooner you start.</w:t>
      </w:r>
    </w:p>
    <w:p>
      <w:pPr>
        <w:pStyle w:val="BodyText"/>
      </w:pPr>
      <w:r>
        <w:rPr>
          <w:b/>
          <w:bCs/>
        </w:rPr>
        <w:t xml:space="preserve">A church mid-pastoral-transition.</w:t>
      </w:r>
      <w:r>
        <w:t xml:space="preserve"> </w:t>
      </w:r>
      <w:r>
        <w:t xml:space="preserve">Do Phase 1 with the outgoing pastor in the</w:t>
      </w:r>
      <w:r>
        <w:t xml:space="preserve"> </w:t>
      </w:r>
      <w:r>
        <w:t xml:space="preserve">room, and do it in the spring rather than in June. Much of what you need is in</w:t>
      </w:r>
      <w:r>
        <w:t xml:space="preserve"> </w:t>
      </w:r>
      <w:r>
        <w:t xml:space="preserve">their head and nowhere else, and they will happily tell you — nobody has ever</w:t>
      </w:r>
      <w:r>
        <w:t xml:space="preserve"> </w:t>
      </w:r>
      <w:r>
        <w:t xml:space="preserve">asked.</w:t>
      </w:r>
    </w:p>
    <w:p>
      <w:pPr>
        <w:pStyle w:val="BodyText"/>
      </w:pPr>
      <w:r>
        <w:rPr>
          <w:b/>
          <w:bCs/>
        </w:rPr>
        <w:t xml:space="preserve">A very small church.</w:t>
      </w:r>
      <w:r>
        <w:t xml:space="preserve"> </w:t>
      </w:r>
      <w:r>
        <w:t xml:space="preserve">All of this is one person and one afternoon. Skip</w:t>
      </w:r>
      <w:r>
        <w:t xml:space="preserve"> </w:t>
      </w:r>
      <w:r>
        <w:t xml:space="preserve">Phase 3 and talk to the two people who do everything.</w:t>
      </w:r>
    </w:p>
    <w:p>
      <w:pPr>
        <w:pStyle w:val="BodyText"/>
      </w:pPr>
      <w:r>
        <w:rPr>
          <w:b/>
          <w:bCs/>
        </w:rPr>
        <w:t xml:space="preserve">A multi-point charge.</w:t>
      </w:r>
      <w:r>
        <w:t xml:space="preserve"> </w:t>
      </w:r>
      <w:r>
        <w:t xml:space="preserve">Each church gets its own map. Shared accounts —</w:t>
      </w:r>
      <w:r>
        <w:t xml:space="preserve"> </w:t>
      </w:r>
      <w:r>
        <w:t xml:space="preserve">often email or a website — get recorded in both, with a note saying they’re</w:t>
      </w:r>
      <w:r>
        <w:t xml:space="preserve"> </w:t>
      </w:r>
      <w:r>
        <w:t xml:space="preserve">shared, or the next transition will find each church assuming the other had it.</w:t>
      </w:r>
    </w:p>
    <w:bookmarkEnd w:id="18"/>
    <w:bookmarkStart w:id="23" w:name="elsewhere"/>
    <w:p>
      <w:pPr>
        <w:pStyle w:val="Heading2"/>
      </w:pPr>
      <w:r>
        <w:t xml:space="preserve">Elsewhere</w:t>
      </w:r>
    </w:p>
    <w:p>
      <w:pPr>
        <w:pStyle w:val="Compact"/>
        <w:numPr>
          <w:ilvl w:val="0"/>
          <w:numId w:val="1017"/>
        </w:numPr>
      </w:pPr>
      <w:hyperlink r:id="rId13">
        <w:r>
          <w:rPr>
            <w:rStyle w:val="Hyperlink"/>
            <w:b/>
            <w:bCs/>
          </w:rPr>
          <w:t xml:space="preserve">Two-factor codes that don’t leave with the person</w:t>
        </w:r>
      </w:hyperlink>
      <w:r>
        <w:t xml:space="preserve"> </w:t>
      </w:r>
      <w:r>
        <w:t xml:space="preserve">— the fix for whatever Phase 4 turns up first.</w:t>
      </w:r>
    </w:p>
    <w:p>
      <w:pPr>
        <w:pStyle w:val="Compact"/>
        <w:numPr>
          <w:ilvl w:val="0"/>
          <w:numId w:val="1017"/>
        </w:numPr>
      </w:pPr>
      <w:hyperlink r:id="rId19">
        <w:r>
          <w:rPr>
            <w:rStyle w:val="Hyperlink"/>
            <w:b/>
            <w:bCs/>
          </w:rPr>
          <w:t xml:space="preserve">Key log</w:t>
        </w:r>
      </w:hyperlink>
      <w:r>
        <w:t xml:space="preserve"> </w:t>
      </w:r>
      <w:r>
        <w:t xml:space="preserve">— the physical half: who holds which key, and</w:t>
      </w:r>
      <w:r>
        <w:t xml:space="preserve"> </w:t>
      </w:r>
      <w:r>
        <w:t xml:space="preserve">the rule about never writing down the code.</w:t>
      </w:r>
    </w:p>
    <w:p>
      <w:pPr>
        <w:pStyle w:val="Compact"/>
        <w:numPr>
          <w:ilvl w:val="0"/>
          <w:numId w:val="1017"/>
        </w:numPr>
      </w:pPr>
      <w:hyperlink r:id="rId20">
        <w:r>
          <w:rPr>
            <w:rStyle w:val="Hyperlink"/>
            <w:b/>
            <w:bCs/>
          </w:rPr>
          <w:t xml:space="preserve">Maintenance schedule</w:t>
        </w:r>
      </w:hyperlink>
      <w:r>
        <w:t xml:space="preserve"> </w:t>
      </w:r>
      <w:r>
        <w:t xml:space="preserve">— the building’s</w:t>
      </w:r>
      <w:r>
        <w:t xml:space="preserve"> </w:t>
      </w:r>
      <w:r>
        <w:t xml:space="preserve">rhythms, which belong in the same map.</w:t>
      </w:r>
    </w:p>
    <w:p>
      <w:pPr>
        <w:pStyle w:val="Compact"/>
        <w:numPr>
          <w:ilvl w:val="0"/>
          <w:numId w:val="1017"/>
        </w:numPr>
      </w:pPr>
      <w:hyperlink r:id="rId21">
        <w:r>
          <w:rPr>
            <w:rStyle w:val="Hyperlink"/>
            <w:b/>
            <w:bCs/>
          </w:rPr>
          <w:t xml:space="preserve">Board of Trustees</w:t>
        </w:r>
      </w:hyperlink>
      <w:r>
        <w:t xml:space="preserve"> </w:t>
      </w:r>
      <w:r>
        <w:t xml:space="preserve">— what the Discipline already</w:t>
      </w:r>
      <w:r>
        <w:t xml:space="preserve"> </w:t>
      </w:r>
      <w:r>
        <w:t xml:space="preserve">requires them to keep track of, which is more than most boards realise.</w:t>
      </w:r>
    </w:p>
    <w:p>
      <w:pPr>
        <w:pStyle w:val="Compact"/>
        <w:numPr>
          <w:ilvl w:val="0"/>
          <w:numId w:val="1017"/>
        </w:numPr>
      </w:pPr>
      <w:hyperlink r:id="rId22">
        <w:r>
          <w:rPr>
            <w:rStyle w:val="Hyperlink"/>
            <w:b/>
            <w:bCs/>
          </w:rPr>
          <w:t xml:space="preserve">Personnel policy skeleton</w:t>
        </w:r>
      </w:hyperlink>
      <w:r>
        <w:t xml:space="preserve"> </w:t>
      </w:r>
      <w:r>
        <w:t xml:space="preserve">— where record</w:t>
      </w:r>
      <w:r>
        <w:t xml:space="preserve"> </w:t>
      </w:r>
      <w:r>
        <w:t xml:space="preserve">retention and personnel files get their own rules.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Your annual conference archivist.</w:t>
      </w:r>
      <w:r>
        <w:t xml:space="preserve"> </w:t>
      </w:r>
      <w:r>
        <w:t xml:space="preserve">Conference commissions on archives and</w:t>
      </w:r>
      <w:r>
        <w:t xml:space="preserve"> </w:t>
      </w:r>
      <w:r>
        <w:t xml:space="preserve">history are charged with helping local churches preserve their records</w:t>
      </w:r>
      <w:r>
        <w:t xml:space="preserve"> </w:t>
      </w:r>
      <w:r>
        <w:t xml:space="preserve">(¶641), and they are almost never asked. Yours may take your minutes off your</w:t>
      </w:r>
      <w:r>
        <w:t xml:space="preserve"> </w:t>
      </w:r>
      <w:r>
        <w:t xml:space="preserve">hands entirely.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https://itineracy.app/commons/workflows/gathering-your-records/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1" Target="/committees/trustees" TargetMode="External" /><Relationship Type="http://schemas.openxmlformats.org/officeDocument/2006/relationships/hyperlink" Id="rId19" Target="/forms/key-log" TargetMode="External" /><Relationship Type="http://schemas.openxmlformats.org/officeDocument/2006/relationships/hyperlink" Id="rId20" Target="/forms/maintenance-schedule" TargetMode="External" /><Relationship Type="http://schemas.openxmlformats.org/officeDocument/2006/relationships/hyperlink" Id="rId22" Target="/forms/personnel-policy" TargetMode="External" /><Relationship Type="http://schemas.openxmlformats.org/officeDocument/2006/relationships/hyperlink" Id="rId13" Target="/workflows/two-factor-for-church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/committees/trustees" TargetMode="External" /><Relationship Type="http://schemas.openxmlformats.org/officeDocument/2006/relationships/hyperlink" Id="rId19" Target="/forms/key-log" TargetMode="External" /><Relationship Type="http://schemas.openxmlformats.org/officeDocument/2006/relationships/hyperlink" Id="rId20" Target="/forms/maintenance-schedule" TargetMode="External" /><Relationship Type="http://schemas.openxmlformats.org/officeDocument/2006/relationships/hyperlink" Id="rId22" Target="/forms/personnel-policy" TargetMode="External" /><Relationship Type="http://schemas.openxmlformats.org/officeDocument/2006/relationships/hyperlink" Id="rId13" Target="/workflows/two-factor-for-church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2026-07-22T23:16:40Z</dcterms:created>
  <dcterms:modified xsi:type="dcterms:W3CDTF">2026-07-22T23:16:40Z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