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welcoming-a-new-pastor"/>
    <w:p>
      <w:pPr>
        <w:pStyle w:val="Heading1"/>
      </w:pPr>
      <w:r>
        <w:t xml:space="preserve">Welcoming a new pastor</w:t>
      </w:r>
    </w:p>
    <w:p>
      <w:pPr>
        <w:pStyle w:val="FirstParagraph"/>
      </w:pPr>
      <w:r>
        <w:t xml:space="preserve">Receiving a pastor is not hiring, and treating it like hiring is how churches get</w:t>
      </w:r>
      <w:r>
        <w:t xml:space="preserve"> </w:t>
      </w:r>
      <w:r>
        <w:t xml:space="preserve">the first six months wrong. The pastor is</w:t>
      </w:r>
      <w:r>
        <w:t xml:space="preserve"> </w:t>
      </w:r>
      <w:r>
        <w:rPr>
          <w:b/>
          <w:bCs/>
        </w:rPr>
        <w:t xml:space="preserve">appointed by the bishop</w:t>
      </w:r>
      <w:r>
        <w:t xml:space="preserve"> </w:t>
      </w:r>
      <w:r>
        <w:t xml:space="preserve">under the</w:t>
      </w:r>
      <w:r>
        <w:t xml:space="preserve"> </w:t>
      </w:r>
      <w:r>
        <w:t xml:space="preserve">itinerant system (¶338); the church did not choose them and cannot dismiss them,</w:t>
      </w:r>
      <w:r>
        <w:t xml:space="preserve"> </w:t>
      </w:r>
      <w:r>
        <w:t xml:space="preserve">and the SPRC’s role is consultation, not selection (¶428). What the church</w:t>
      </w:r>
      <w:r>
        <w:t xml:space="preserve"> </w:t>
      </w:r>
      <w:r>
        <w:rPr>
          <w:i/>
          <w:iCs/>
        </w:rPr>
        <w:t xml:space="preserve">does</w:t>
      </w:r>
      <w:r>
        <w:t xml:space="preserve"> </w:t>
      </w:r>
      <w:r>
        <w:t xml:space="preserve">own is everything that makes the appointment work: the house, the keys, the</w:t>
      </w:r>
      <w:r>
        <w:t xml:space="preserve"> </w:t>
      </w:r>
      <w:r>
        <w:t xml:space="preserve">accounts, the introductions, and an honest account of how this place actually runs.</w:t>
      </w:r>
      <w:r>
        <w:t xml:space="preserve"> </w:t>
      </w:r>
      <w:r>
        <w:t xml:space="preserve">This page is that checklist — including how it changes for a provisional elder, a</w:t>
      </w:r>
      <w:r>
        <w:t xml:space="preserve"> </w:t>
      </w:r>
      <w:r>
        <w:t xml:space="preserve">deacon, a licensed local pastor, or a retired pastor under appointment, which is</w:t>
      </w:r>
      <w:r>
        <w:t xml:space="preserve"> </w:t>
      </w:r>
      <w:r>
        <w:t xml:space="preserve">the part almost nobody writes down. For hiring lay staff — which really is hiring —</w:t>
      </w:r>
      <w:r>
        <w:t xml:space="preserve"> </w:t>
      </w:r>
      <w:r>
        <w:t xml:space="preserve">see</w:t>
      </w:r>
      <w:r>
        <w:t xml:space="preserve"> </w:t>
      </w:r>
      <w:hyperlink r:id="rId9">
        <w:r>
          <w:rPr>
            <w:rStyle w:val="Hyperlink"/>
          </w:rPr>
          <w:t xml:space="preserve">staff onboarding</w:t>
        </w:r>
      </w:hyperlink>
      <w:r>
        <w:t xml:space="preserve">.</w:t>
      </w:r>
    </w:p>
    <w:bookmarkStart w:id="11" w:name="before-you-start"/>
    <w:p>
      <w:pPr>
        <w:pStyle w:val="Heading2"/>
      </w:pPr>
      <w:r>
        <w:t xml:space="preserve">Before you start</w:t>
      </w:r>
    </w:p>
    <w:p>
      <w:pPr>
        <w:pStyle w:val="FirstParagraph"/>
      </w:pPr>
      <w:r>
        <w:rPr>
          <w:b/>
          <w:bCs/>
        </w:rPr>
        <w:t xml:space="preserve">Who owns this checklist.</w:t>
      </w:r>
      <w:r>
        <w:t xml:space="preserve"> </w:t>
      </w:r>
      <w:r>
        <w:t xml:space="preserve">The SPRC chair, working with the trustees chair and</w:t>
      </w:r>
      <w:r>
        <w:t xml:space="preserve"> </w:t>
      </w:r>
      <w:r>
        <w:t xml:space="preserve">the outgoing pastor. Name one person accountable for it, in writing, at the first</w:t>
      </w:r>
      <w:r>
        <w:t xml:space="preserve"> </w:t>
      </w:r>
      <w:r>
        <w:t xml:space="preserve">meeting after the appointment is announced. In practice this fails when everyone</w:t>
      </w:r>
      <w:r>
        <w:t xml:space="preserve"> </w:t>
      </w:r>
      <w:r>
        <w:t xml:space="preserve">assumes the outgoing pastor is handling it and the outgoing pastor assumes the</w:t>
      </w:r>
      <w:r>
        <w:t xml:space="preserve"> </w:t>
      </w:r>
      <w:r>
        <w:t xml:space="preserve">committee is.</w:t>
      </w:r>
    </w:p>
    <w:p>
      <w:pPr>
        <w:pStyle w:val="BodyText"/>
      </w:pPr>
      <w:r>
        <w:rPr>
          <w:b/>
          <w:bCs/>
        </w:rPr>
        <w:t xml:space="preserve">What you should already have.</w:t>
      </w:r>
      <w:r>
        <w:t xml:space="preserve"> </w:t>
      </w:r>
      <w:r>
        <w:t xml:space="preserve">A current account register, a key log, and a</w:t>
      </w:r>
      <w:r>
        <w:t xml:space="preserve"> </w:t>
      </w:r>
      <w:r>
        <w:t xml:space="preserve">document register — see the</w:t>
      </w:r>
      <w:r>
        <w:t xml:space="preserve"> </w:t>
      </w:r>
      <w:hyperlink r:id="rId10">
        <w:r>
          <w:rPr>
            <w:rStyle w:val="Hyperlink"/>
          </w:rPr>
          <w:t xml:space="preserve">key log</w:t>
        </w:r>
      </w:hyperlink>
      <w:r>
        <w:t xml:space="preserve"> </w:t>
      </w:r>
      <w:r>
        <w:t xml:space="preserve">template. If you don’t have</w:t>
      </w:r>
      <w:r>
        <w:t xml:space="preserve"> </w:t>
      </w:r>
      <w:r>
        <w:t xml:space="preserve">them, building them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the first task, and building them in June is worse than</w:t>
      </w:r>
      <w:r>
        <w:t xml:space="preserve"> </w:t>
      </w:r>
      <w:r>
        <w:t xml:space="preserve">building them in March.</w:t>
      </w:r>
    </w:p>
    <w:p>
      <w:pPr>
        <w:pStyle w:val="BodyText"/>
      </w:pPr>
      <w:r>
        <w:rPr>
          <w:b/>
          <w:bCs/>
        </w:rPr>
        <w:t xml:space="preserve">What is not yours to decide.</w:t>
      </w:r>
      <w:r>
        <w:t xml:space="preserve"> </w:t>
      </w:r>
      <w:r>
        <w:t xml:space="preserve">The appointment itself, the pastor’s conference</w:t>
      </w:r>
      <w:r>
        <w:t xml:space="preserve"> </w:t>
      </w:r>
      <w:r>
        <w:t xml:space="preserve">relationship, and the terms of their itineracy. Compensation is set by the</w:t>
      </w:r>
      <w:r>
        <w:t xml:space="preserve"> </w:t>
      </w:r>
      <w:r>
        <w:rPr>
          <w:b/>
          <w:bCs/>
        </w:rPr>
        <w:t xml:space="preserve">charge</w:t>
      </w:r>
      <w:r>
        <w:rPr>
          <w:b/>
          <w:bCs/>
        </w:rPr>
        <w:t xml:space="preserve"> </w:t>
      </w:r>
      <w:r>
        <w:rPr>
          <w:b/>
          <w:bCs/>
        </w:rPr>
        <w:t xml:space="preserve">conference in consultation with the district superintendent</w:t>
      </w:r>
      <w:r>
        <w:t xml:space="preserve"> </w:t>
      </w:r>
      <w:r>
        <w:t xml:space="preserve">(¶247.13), not by</w:t>
      </w:r>
      <w:r>
        <w:t xml:space="preserve"> </w:t>
      </w:r>
      <w:r>
        <w:t xml:space="preserve">SPRC alone.</w:t>
      </w:r>
    </w:p>
    <w:p>
      <w:pPr>
        <w:pStyle w:val="BodyText"/>
      </w:pPr>
      <w:r>
        <w:rPr>
          <w:b/>
          <w:bCs/>
        </w:rPr>
        <w:t xml:space="preserve">A thing worth saying out loud to your committee:</w:t>
      </w:r>
      <w:r>
        <w:t xml:space="preserve"> </w:t>
      </w:r>
      <w:r>
        <w:t xml:space="preserve">clergy are members of the</w:t>
      </w:r>
      <w:r>
        <w:t xml:space="preserve"> </w:t>
      </w:r>
      <w:r>
        <w:t xml:space="preserve">annual conference, not of your local church. They do not appear on your membership</w:t>
      </w:r>
      <w:r>
        <w:t xml:space="preserve"> </w:t>
      </w:r>
      <w:r>
        <w:t xml:space="preserve">rolls, and they are not your employee in the way the office administrator is. Some</w:t>
      </w:r>
      <w:r>
        <w:t xml:space="preserve"> </w:t>
      </w:r>
      <w:r>
        <w:t xml:space="preserve">of the friction in a first year comes from a congregation quietly expecting</w:t>
      </w:r>
      <w:r>
        <w:t xml:space="preserve"> </w:t>
      </w:r>
      <w:r>
        <w:t xml:space="preserve">otherwise.</w:t>
      </w:r>
    </w:p>
    <w:bookmarkEnd w:id="11"/>
    <w:bookmarkStart w:id="17" w:name="the-workflow"/>
    <w:p>
      <w:pPr>
        <w:pStyle w:val="Heading2"/>
      </w:pPr>
      <w:r>
        <w:t xml:space="preserve">The workflow</w:t>
      </w:r>
    </w:p>
    <w:bookmarkStart w:id="13" w:name="X2fc34d4295f815ffc84e2fc4dfa1cf9b3e0cae0"/>
    <w:p>
      <w:pPr>
        <w:pStyle w:val="Heading3"/>
      </w:pPr>
      <w:r>
        <w:t xml:space="preserve">Phase 1 — When the appointment is announced (spring)</w:t>
      </w:r>
    </w:p>
    <w:p>
      <w:pPr>
        <w:pStyle w:val="Compact"/>
        <w:numPr>
          <w:ilvl w:val="0"/>
          <w:numId w:val="1001"/>
        </w:numPr>
      </w:pPr>
      <w:r>
        <w:t xml:space="preserve">SPRC chair contacts the incoming pastor within a week. Not to discuss</w:t>
      </w:r>
      <w:r>
        <w:t xml:space="preserve"> </w:t>
      </w:r>
      <w:r>
        <w:t xml:space="preserve">business — to say welcome and give them a name and a phone number.</w:t>
      </w:r>
    </w:p>
    <w:p>
      <w:pPr>
        <w:pStyle w:val="Compact"/>
        <w:numPr>
          <w:ilvl w:val="0"/>
          <w:numId w:val="1002"/>
        </w:numPr>
      </w:pPr>
      <w:r>
        <w:t xml:space="preserve">Confirm the</w:t>
      </w:r>
      <w:r>
        <w:t xml:space="preserve"> </w:t>
      </w:r>
      <w:r>
        <w:rPr>
          <w:b/>
          <w:bCs/>
        </w:rPr>
        <w:t xml:space="preserve">moving date</w:t>
      </w:r>
      <w:r>
        <w:t xml:space="preserve"> </w:t>
      </w:r>
      <w:r>
        <w:t xml:space="preserve">and who is paying for the move</w:t>
      </w:r>
      <w:r>
        <w:t xml:space="preserve"> </w:t>
      </w:r>
      <w:r>
        <w:rPr>
          <w:rStyle w:val="VerbatimChar"/>
        </w:rPr>
        <w:t xml:space="preserve">[usually conference or church policy — ask your district office]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Trustees, SPRC chair, and the</w:t>
      </w:r>
      <w:r>
        <w:t xml:space="preserve"> </w:t>
      </w:r>
      <w:r>
        <w:rPr>
          <w:b/>
          <w:bCs/>
        </w:rPr>
        <w:t xml:space="preserve">outgoing</w:t>
      </w:r>
      <w:r>
        <w:t xml:space="preserve"> </w:t>
      </w:r>
      <w:r>
        <w:t xml:space="preserve">pastor conduct the annual parsonage</w:t>
      </w:r>
      <w:r>
        <w:t xml:space="preserve"> </w:t>
      </w:r>
      <w:r>
        <w:t xml:space="preserve">review (¶2533.4). Do it now, not in June: repairs need lead time, and this is</w:t>
      </w:r>
      <w:r>
        <w:t xml:space="preserve"> </w:t>
      </w:r>
      <w:r>
        <w:t xml:space="preserve">the review the Discipline already requires anyway.</w:t>
      </w:r>
    </w:p>
    <w:p>
      <w:pPr>
        <w:pStyle w:val="Compact"/>
        <w:numPr>
          <w:ilvl w:val="0"/>
          <w:numId w:val="1004"/>
        </w:numPr>
      </w:pPr>
      <w:r>
        <w:t xml:space="preserve">Ask the incoming pastor directly about</w:t>
      </w:r>
      <w:r>
        <w:t xml:space="preserve"> </w:t>
      </w:r>
      <w:r>
        <w:rPr>
          <w:b/>
          <w:bCs/>
        </w:rPr>
        <w:t xml:space="preserve">household needs</w:t>
      </w:r>
      <w:r>
        <w:t xml:space="preserve"> </w:t>
      </w:r>
      <w:r>
        <w:t xml:space="preserve">— family</w:t>
      </w:r>
      <w:r>
        <w:t xml:space="preserve"> </w:t>
      </w:r>
      <w:r>
        <w:t xml:space="preserve">composition, accessibility, pets, allergies, school timing. Ask; do not</w:t>
      </w:r>
      <w:r>
        <w:t xml:space="preserve"> </w:t>
      </w:r>
      <w:r>
        <w:t xml:space="preserve">assume and do not guess from a photo.</w:t>
      </w:r>
    </w:p>
    <w:p>
      <w:pPr>
        <w:pStyle w:val="Compact"/>
        <w:numPr>
          <w:ilvl w:val="0"/>
          <w:numId w:val="1005"/>
        </w:numPr>
      </w:pPr>
      <w:r>
        <w:t xml:space="preserve">Begin the</w:t>
      </w:r>
      <w:r>
        <w:t xml:space="preserve"> </w:t>
      </w:r>
      <w:hyperlink r:id="rId12">
        <w:r>
          <w:rPr>
            <w:rStyle w:val="Hyperlink"/>
          </w:rPr>
          <w:t xml:space="preserve">Day One packet</w:t>
        </w:r>
      </w:hyperlink>
      <w:r>
        <w:t xml:space="preserve"> </w:t>
      </w:r>
      <w:r>
        <w:t xml:space="preserve">— the written account of how the</w:t>
      </w:r>
      <w:r>
        <w:t xml:space="preserve"> </w:t>
      </w:r>
      <w:r>
        <w:t xml:space="preserve">church runs. Assign sections to people who actually know the answers.</w:t>
      </w:r>
    </w:p>
    <w:bookmarkEnd w:id="13"/>
    <w:bookmarkStart w:id="14" w:name="phase-2-before-moving-day"/>
    <w:p>
      <w:pPr>
        <w:pStyle w:val="Heading3"/>
      </w:pPr>
      <w:r>
        <w:t xml:space="preserve">Phase 2 — Before moving day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Parsonage ready:</w:t>
      </w:r>
      <w:r>
        <w:t xml:space="preserve"> </w:t>
      </w:r>
      <w:r>
        <w:t xml:space="preserve">repairs done, professionally cleaned, utilities</w:t>
      </w:r>
      <w:r>
        <w:t xml:space="preserve"> </w:t>
      </w:r>
      <w:r>
        <w:t xml:space="preserve">transferred or confirmed, working appliances, and a written inventory of what</w:t>
      </w:r>
      <w:r>
        <w:t xml:space="preserve"> </w:t>
      </w:r>
      <w:r>
        <w:t xml:space="preserve">belongs to the church.</w:t>
      </w:r>
    </w:p>
    <w:p>
      <w:pPr>
        <w:pStyle w:val="Compact"/>
        <w:numPr>
          <w:ilvl w:val="0"/>
          <w:numId w:val="1007"/>
        </w:numPr>
      </w:pPr>
      <w:r>
        <w:t xml:space="preserve">Decide and write down</w:t>
      </w:r>
      <w:r>
        <w:t xml:space="preserve"> </w:t>
      </w:r>
      <w:r>
        <w:rPr>
          <w:b/>
          <w:bCs/>
        </w:rPr>
        <w:t xml:space="preserve">who pays which utility</w:t>
      </w:r>
      <w:r>
        <w:t xml:space="preserve">. This is the single most</w:t>
      </w:r>
      <w:r>
        <w:t xml:space="preserve"> </w:t>
      </w:r>
      <w:r>
        <w:t xml:space="preserve">common source of first-year parsonage friction.</w:t>
      </w:r>
    </w:p>
    <w:p>
      <w:pPr>
        <w:pStyle w:val="Compact"/>
        <w:numPr>
          <w:ilvl w:val="0"/>
          <w:numId w:val="1008"/>
        </w:numPr>
      </w:pPr>
      <w:r>
        <w:t xml:space="preserve">Keys and codes: cut them, log them in the key log, and schedule the alarm-code</w:t>
      </w:r>
      <w:r>
        <w:t xml:space="preserve"> </w:t>
      </w:r>
      <w:r>
        <w:t xml:space="preserve">change for the day of transition — not a week after.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Accounts:</w:t>
      </w:r>
      <w:r>
        <w:t xml:space="preserve"> </w:t>
      </w:r>
      <w:r>
        <w:t xml:space="preserve">create the new pastor’s church email; identify every account</w:t>
      </w:r>
      <w:r>
        <w:t xml:space="preserve"> </w:t>
      </w:r>
      <w:r>
        <w:t xml:space="preserve">where the outgoing pastor is the owner, recovery address, or two-factor</w:t>
      </w:r>
      <w:r>
        <w:t xml:space="preserve"> </w:t>
      </w:r>
      <w:r>
        <w:t xml:space="preserve">destination, and plan the handover for each. Do not wait until they’ve left</w:t>
      </w:r>
      <w:r>
        <w:t xml:space="preserve"> </w:t>
      </w:r>
      <w:r>
        <w:t xml:space="preserve">the state.</w:t>
      </w:r>
    </w:p>
    <w:p>
      <w:pPr>
        <w:pStyle w:val="Compact"/>
        <w:numPr>
          <w:ilvl w:val="0"/>
          <w:numId w:val="1010"/>
        </w:numPr>
      </w:pPr>
      <w:r>
        <w:t xml:space="preserve">Bank: confirm which</w:t>
      </w:r>
      <w:r>
        <w:t xml:space="preserve"> </w:t>
      </w:r>
      <w:r>
        <w:rPr>
          <w:b/>
          <w:bCs/>
        </w:rPr>
        <w:t xml:space="preserve">lay financial officers</w:t>
      </w:r>
      <w:r>
        <w:t xml:space="preserve"> </w:t>
      </w:r>
      <w:r>
        <w:t xml:space="preserve">— treasurer, financial</w:t>
      </w:r>
      <w:r>
        <w:t xml:space="preserve"> </w:t>
      </w:r>
      <w:r>
        <w:t xml:space="preserve">secretary, or a trustee — will be signers. Sound internal control keeps the</w:t>
      </w:r>
      <w:r>
        <w:t xml:space="preserve"> </w:t>
      </w:r>
      <w:r>
        <w:t xml:space="preserve">pastor off the bank account entirely; adding them as a signer is not a step</w:t>
      </w:r>
      <w:r>
        <w:t xml:space="preserve"> </w:t>
      </w:r>
      <w:r>
        <w:t xml:space="preserve">in this checklist, it’s the thing this checklist avoids. Prepare the</w:t>
      </w:r>
      <w:r>
        <w:t xml:space="preserve"> </w:t>
      </w:r>
      <w:r>
        <w:t xml:space="preserve">resolution for whichever lay officers are changing. Signature cards usually</w:t>
      </w:r>
      <w:r>
        <w:t xml:space="preserve"> </w:t>
      </w:r>
      <w:r>
        <w:t xml:space="preserve">require an in-person visit and a charge conference or trustee action — start</w:t>
      </w:r>
      <w:r>
        <w:t xml:space="preserve"> </w:t>
      </w:r>
      <w:r>
        <w:t xml:space="preserve">early.</w:t>
      </w:r>
      <w:r>
        <w:t xml:space="preserve"> </w:t>
      </w:r>
      <w:r>
        <w:rPr>
          <w:b/>
          <w:bCs/>
        </w:rPr>
        <w:t xml:space="preserve">Record the signers against the bank account in your account</w:t>
      </w:r>
      <w:r>
        <w:rPr>
          <w:b/>
          <w:bCs/>
        </w:rPr>
        <w:t xml:space="preserve"> </w:t>
      </w:r>
      <w:r>
        <w:rPr>
          <w:b/>
          <w:bCs/>
        </w:rPr>
        <w:t xml:space="preserve">register</w:t>
      </w:r>
      <w:r>
        <w:t xml:space="preserve">, the same as any other account holder — a signer list that</w:t>
      </w:r>
      <w:r>
        <w:t xml:space="preserve"> </w:t>
      </w:r>
      <w:r>
        <w:t xml:space="preserve">only exists on a signature card at the bank is exactly the kind of fact</w:t>
      </w:r>
      <w:r>
        <w:t xml:space="preserve"> </w:t>
      </w:r>
      <w:r>
        <w:t xml:space="preserve">this whole page is trying to get out of one person’s head.</w:t>
      </w:r>
    </w:p>
    <w:p>
      <w:pPr>
        <w:pStyle w:val="Compact"/>
        <w:numPr>
          <w:ilvl w:val="0"/>
          <w:numId w:val="1011"/>
        </w:numPr>
      </w:pPr>
      <w:r>
        <w:t xml:space="preserve">Confirm</w:t>
      </w:r>
      <w:r>
        <w:t xml:space="preserve"> </w:t>
      </w:r>
      <w:r>
        <w:rPr>
          <w:b/>
          <w:bCs/>
        </w:rPr>
        <w:t xml:space="preserve">compensation</w:t>
      </w:r>
      <w:r>
        <w:t xml:space="preserve"> </w:t>
      </w:r>
      <w:r>
        <w:t xml:space="preserve">is properly recorded — set by charge conference in</w:t>
      </w:r>
      <w:r>
        <w:t xml:space="preserve"> </w:t>
      </w:r>
      <w:r>
        <w:t xml:space="preserve">consultation with the DS (¶247.13) — and that payroll knows the start date.</w:t>
      </w:r>
    </w:p>
    <w:p>
      <w:pPr>
        <w:pStyle w:val="Compact"/>
        <w:numPr>
          <w:ilvl w:val="0"/>
          <w:numId w:val="1012"/>
        </w:numPr>
      </w:pPr>
      <w:r>
        <w:t xml:space="preserve">Confirm</w:t>
      </w:r>
      <w:r>
        <w:t xml:space="preserve"> </w:t>
      </w:r>
      <w:r>
        <w:rPr>
          <w:b/>
          <w:bCs/>
        </w:rPr>
        <w:t xml:space="preserve">benefits and pension</w:t>
      </w:r>
      <w:r>
        <w:t xml:space="preserve"> </w:t>
      </w:r>
      <w:r>
        <w:t xml:space="preserve">enrollment through the conference and</w:t>
      </w:r>
      <w:r>
        <w:t xml:space="preserve"> </w:t>
      </w:r>
      <w:r>
        <w:t xml:space="preserve">Wespath. This is conference machinery, not church machinery, but somebody has</w:t>
      </w:r>
      <w:r>
        <w:t xml:space="preserve"> </w:t>
      </w:r>
      <w:r>
        <w:t xml:space="preserve">to check it happened.</w:t>
      </w:r>
    </w:p>
    <w:p>
      <w:pPr>
        <w:pStyle w:val="Compact"/>
        <w:numPr>
          <w:ilvl w:val="0"/>
          <w:numId w:val="1013"/>
        </w:numPr>
      </w:pPr>
      <w:r>
        <w:t xml:space="preserve">Stock the parsonage kitchen for the first two days, and put a note on the</w:t>
      </w:r>
      <w:r>
        <w:t xml:space="preserve"> </w:t>
      </w:r>
      <w:r>
        <w:t xml:space="preserve">counter with the wifi password, the trash day, and one phone number.</w:t>
      </w:r>
    </w:p>
    <w:bookmarkEnd w:id="14"/>
    <w:bookmarkStart w:id="15" w:name="phase-3-the-first-two-weeks"/>
    <w:p>
      <w:pPr>
        <w:pStyle w:val="Heading3"/>
      </w:pPr>
      <w:r>
        <w:t xml:space="preserve">Phase 3 — The first two weeks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Walk the building</w:t>
      </w:r>
      <w:r>
        <w:t xml:space="preserve"> </w:t>
      </w:r>
      <w:r>
        <w:t xml:space="preserve">with the trustees chair and whoever actually maintains</w:t>
      </w:r>
      <w:r>
        <w:t xml:space="preserve"> </w:t>
      </w:r>
      <w:r>
        <w:t xml:space="preserve">it. Boiler, breaker box, water shutoff, the door that sticks.</w:t>
      </w:r>
    </w:p>
    <w:p>
      <w:pPr>
        <w:pStyle w:val="Compact"/>
        <w:numPr>
          <w:ilvl w:val="0"/>
          <w:numId w:val="1015"/>
        </w:numPr>
      </w:pPr>
      <w:r>
        <w:t xml:space="preserve">Hand over the</w:t>
      </w:r>
      <w:r>
        <w:t xml:space="preserve"> </w:t>
      </w:r>
      <w:r>
        <w:rPr>
          <w:b/>
          <w:bCs/>
        </w:rPr>
        <w:t xml:space="preserve">Day One packet</w:t>
      </w:r>
      <w:r>
        <w:t xml:space="preserve"> </w:t>
      </w:r>
      <w:r>
        <w:t xml:space="preserve">in person and talk through it. The document</w:t>
      </w:r>
      <w:r>
        <w:t xml:space="preserve"> </w:t>
      </w:r>
      <w:r>
        <w:t xml:space="preserve">is not the handoff; the conversation is.</w:t>
      </w:r>
    </w:p>
    <w:p>
      <w:pPr>
        <w:pStyle w:val="Compact"/>
        <w:numPr>
          <w:ilvl w:val="0"/>
          <w:numId w:val="1016"/>
        </w:numPr>
      </w:pPr>
      <w:r>
        <w:t xml:space="preserve">Complete account transfers: ownership, two-factor destinations, recovery</w:t>
      </w:r>
      <w:r>
        <w:t xml:space="preserve"> </w:t>
      </w:r>
      <w:r>
        <w:t xml:space="preserve">emails. Verify each one by signing in, not by assuming.</w:t>
      </w:r>
    </w:p>
    <w:p>
      <w:pPr>
        <w:pStyle w:val="Compact"/>
        <w:numPr>
          <w:ilvl w:val="0"/>
          <w:numId w:val="1017"/>
        </w:numPr>
      </w:pPr>
      <w:r>
        <w:t xml:space="preserve">Complete any</w:t>
      </w:r>
      <w:r>
        <w:t xml:space="preserve"> </w:t>
      </w:r>
      <w:r>
        <w:rPr>
          <w:b/>
          <w:bCs/>
        </w:rPr>
        <w:t xml:space="preserve">screening and boundaries training</w:t>
      </w:r>
      <w:r>
        <w:t xml:space="preserve"> </w:t>
      </w:r>
      <w:r>
        <w:t xml:space="preserve">the conference requires,</w:t>
      </w:r>
      <w:r>
        <w:t xml:space="preserve"> </w:t>
      </w:r>
      <w:r>
        <w:t xml:space="preserve">and the church’s own safe gatherings policy acknowledgment.</w:t>
      </w:r>
    </w:p>
    <w:p>
      <w:pPr>
        <w:pStyle w:val="Compact"/>
        <w:numPr>
          <w:ilvl w:val="0"/>
          <w:numId w:val="1018"/>
        </w:numPr>
      </w:pPr>
      <w:r>
        <w:t xml:space="preserve">Introduce to: the office administrator, the custodian, the treasurer and</w:t>
      </w:r>
      <w:r>
        <w:t xml:space="preserve"> </w:t>
      </w:r>
      <w:r>
        <w:t xml:space="preserve">financial secretary, the lay leader, the SPRC chair, the trustees chair, and</w:t>
      </w:r>
      <w:r>
        <w:t xml:space="preserve"> </w:t>
      </w:r>
      <w:r>
        <w:t xml:space="preserve">the organist or music director. Individually, not as a receiving line.</w:t>
      </w:r>
    </w:p>
    <w:p>
      <w:pPr>
        <w:pStyle w:val="Compact"/>
        <w:numPr>
          <w:ilvl w:val="0"/>
          <w:numId w:val="1019"/>
        </w:numPr>
      </w:pPr>
      <w:r>
        <w:t xml:space="preserve">Introduce to the</w:t>
      </w:r>
      <w:r>
        <w:t xml:space="preserve"> </w:t>
      </w:r>
      <w:r>
        <w:rPr>
          <w:b/>
          <w:bCs/>
        </w:rPr>
        <w:t xml:space="preserve">community</w:t>
      </w:r>
      <w:r>
        <w:t xml:space="preserve">: the funeral home, the neighboring churches,</w:t>
      </w:r>
      <w:r>
        <w:t xml:space="preserve"> </w:t>
      </w:r>
      <w:r>
        <w:t xml:space="preserve">the school principal, the food pantry, whoever the church partners with.</w:t>
      </w:r>
      <w:r>
        <w:t xml:space="preserve"> </w:t>
      </w:r>
      <w:r>
        <w:t xml:space="preserve">Nobody hands a new pastor this list and it takes two years to rebuild.</w:t>
      </w:r>
    </w:p>
    <w:bookmarkEnd w:id="15"/>
    <w:bookmarkStart w:id="16" w:name="phase-4-the-first-ninety-days"/>
    <w:p>
      <w:pPr>
        <w:pStyle w:val="Heading3"/>
      </w:pPr>
      <w:r>
        <w:t xml:space="preserve">Phase 4 — The first ninety days</w:t>
      </w:r>
    </w:p>
    <w:p>
      <w:pPr>
        <w:pStyle w:val="Compact"/>
        <w:numPr>
          <w:ilvl w:val="0"/>
          <w:numId w:val="1020"/>
        </w:numPr>
      </w:pPr>
      <w:r>
        <w:t xml:space="preserve">SPRC meets with the pastor to set</w:t>
      </w:r>
      <w:r>
        <w:t xml:space="preserve"> </w:t>
      </w:r>
      <w:r>
        <w:rPr>
          <w:b/>
          <w:bCs/>
        </w:rPr>
        <w:t xml:space="preserve">mutual expectations</w:t>
      </w:r>
      <w:r>
        <w:t xml:space="preserve"> </w:t>
      </w:r>
      <w:r>
        <w:t xml:space="preserve">in writing: office</w:t>
      </w:r>
      <w:r>
        <w:t xml:space="preserve"> </w:t>
      </w:r>
      <w:r>
        <w:t xml:space="preserve">rhythms, day off, vacation and continuing education already scheduled, how</w:t>
      </w:r>
      <w:r>
        <w:t xml:space="preserve"> </w:t>
      </w:r>
      <w:r>
        <w:t xml:space="preserve">communication works, what</w:t>
      </w:r>
      <w:r>
        <w:t xml:space="preserve"> </w:t>
      </w:r>
      <w:r>
        <w:t xml:space="preserve">“full-time”</w:t>
      </w:r>
      <w:r>
        <w:t xml:space="preserve"> </w:t>
      </w:r>
      <w:r>
        <w:t xml:space="preserve">means here (¶338.1 makes that the DS’s</w:t>
      </w:r>
      <w:r>
        <w:t xml:space="preserve"> </w:t>
      </w:r>
      <w:r>
        <w:t xml:space="preserve">call in consultation — write down what it means in practice).</w:t>
      </w:r>
    </w:p>
    <w:p>
      <w:pPr>
        <w:pStyle w:val="Compact"/>
        <w:numPr>
          <w:ilvl w:val="0"/>
          <w:numId w:val="1021"/>
        </w:numPr>
      </w:pPr>
      <w:r>
        <w:t xml:space="preserve">Review the pastor’s</w:t>
      </w:r>
      <w:r>
        <w:t xml:space="preserve"> </w:t>
      </w:r>
      <w:r>
        <w:rPr>
          <w:b/>
          <w:bCs/>
        </w:rPr>
        <w:t xml:space="preserve">responsibilities</w:t>
      </w:r>
      <w:r>
        <w:t xml:space="preserve"> </w:t>
      </w:r>
      <w:r>
        <w:t xml:space="preserve">together (¶340) — not to police</w:t>
      </w:r>
      <w:r>
        <w:t xml:space="preserve"> </w:t>
      </w:r>
      <w:r>
        <w:t xml:space="preserve">them, but so the committee and the pastor share one list rather than two.</w:t>
      </w:r>
    </w:p>
    <w:p>
      <w:pPr>
        <w:pStyle w:val="Compact"/>
        <w:numPr>
          <w:ilvl w:val="0"/>
          <w:numId w:val="1022"/>
        </w:numPr>
      </w:pPr>
      <w:r>
        <w:t xml:space="preserve">Confirm</w:t>
      </w:r>
      <w:r>
        <w:t xml:space="preserve"> </w:t>
      </w:r>
      <w:r>
        <w:rPr>
          <w:b/>
          <w:bCs/>
        </w:rPr>
        <w:t xml:space="preserve">continuing education</w:t>
      </w:r>
      <w:r>
        <w:t xml:space="preserve"> </w:t>
      </w:r>
      <w:r>
        <w:t xml:space="preserve">time and money are budgeted; ¶258.2 directs</w:t>
      </w:r>
      <w:r>
        <w:t xml:space="preserve"> </w:t>
      </w:r>
      <w:r>
        <w:t xml:space="preserve">SPRC to arrange for it, and it is the first thing dropped in a busy year.</w:t>
      </w:r>
    </w:p>
    <w:p>
      <w:pPr>
        <w:pStyle w:val="Compact"/>
        <w:numPr>
          <w:ilvl w:val="0"/>
          <w:numId w:val="1023"/>
        </w:numPr>
      </w:pPr>
      <w:r>
        <w:t xml:space="preserve">Ask, at ninety days:</w:t>
      </w:r>
      <w:r>
        <w:t xml:space="preserve"> </w:t>
      </w:r>
      <w:r>
        <w:rPr>
          <w:i/>
          <w:iCs/>
        </w:rPr>
        <w:t xml:space="preserve">what did we not tell you that you had to find out the</w:t>
      </w:r>
      <w:r>
        <w:rPr>
          <w:i/>
          <w:iCs/>
        </w:rPr>
        <w:t xml:space="preserve"> </w:t>
      </w:r>
      <w:r>
        <w:rPr>
          <w:i/>
          <w:iCs/>
        </w:rPr>
        <w:t xml:space="preserve">hard way?</w:t>
      </w:r>
      <w:r>
        <w:t xml:space="preserve"> </w:t>
      </w:r>
      <w:r>
        <w:t xml:space="preserve">Write the answer into the Day One packet for next time.</w:t>
      </w:r>
    </w:p>
    <w:bookmarkEnd w:id="16"/>
    <w:bookmarkEnd w:id="17"/>
    <w:bookmarkStart w:id="18" w:name="who-does-what"/>
    <w:p>
      <w:pPr>
        <w:pStyle w:val="Heading2"/>
      </w:pPr>
      <w:r>
        <w:t xml:space="preserve">Who does what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Task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Appointment itself, consultation</w:t>
            </w:r>
          </w:p>
        </w:tc>
        <w:tc>
          <w:tcPr/>
          <w:p>
            <w:pPr>
              <w:pStyle w:val="Compact"/>
            </w:pPr>
            <w:r>
              <w:t xml:space="preserve">Bishop, cabinet, DS (¶¶338, 428)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Compensation</w:t>
            </w:r>
          </w:p>
        </w:tc>
        <w:tc>
          <w:tcPr/>
          <w:p>
            <w:pPr>
              <w:pStyle w:val="Compact"/>
            </w:pPr>
            <w:r>
              <w:t xml:space="preserve">Charge conference, in consultation with DS (¶247.13)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Parsonage condition, keys, insurance</w:t>
            </w:r>
          </w:p>
        </w:tc>
        <w:tc>
          <w:tcPr/>
          <w:p>
            <w:pPr>
              <w:pStyle w:val="Compact"/>
            </w:pPr>
            <w:r>
              <w:t xml:space="preserve">Trustees (¶2533)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Parsonage annual review</w:t>
            </w:r>
          </w:p>
        </w:tc>
        <w:tc>
          <w:tcPr/>
          <w:p>
            <w:pPr>
              <w:pStyle w:val="Compact"/>
            </w:pPr>
            <w:r>
              <w:t xml:space="preserve">Trustees chair + SPRC chair + pastor (¶2533.4)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Welcome, expectations, care, evaluation</w:t>
            </w:r>
          </w:p>
        </w:tc>
        <w:tc>
          <w:tcPr/>
          <w:p>
            <w:pPr>
              <w:pStyle w:val="Compact"/>
            </w:pPr>
            <w:r>
              <w:t xml:space="preserve">SPRC (¶258.2)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 and record handover</w:t>
            </w:r>
          </w:p>
        </w:tc>
        <w:tc>
          <w:tcPr/>
          <w:p>
            <w:pPr>
              <w:pStyle w:val="Compact"/>
            </w:pPr>
            <w:r>
              <w:t xml:space="preserve">Outgoing pastor + office administrator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Benefits and pension enrolment</w:t>
            </w:r>
          </w:p>
        </w:tc>
        <w:tc>
          <w:tcPr/>
          <w:p>
            <w:pPr>
              <w:pStyle w:val="Compact"/>
            </w:pPr>
            <w:r>
              <w:t xml:space="preserve">Conference / Wespath, confirmed by treasurer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Payroll setup</w:t>
            </w:r>
          </w:p>
        </w:tc>
        <w:tc>
          <w:tcPr/>
          <w:p>
            <w:pPr>
              <w:pStyle w:val="Compact"/>
            </w:pPr>
            <w:r>
              <w:t xml:space="preserve">Treasurer</w:t>
            </w:r>
          </w:p>
        </w:tc>
      </w:tr>
    </w:tbl>
    <w:bookmarkEnd w:id="18"/>
    <w:bookmarkStart w:id="21" w:name="variations"/>
    <w:p>
      <w:pPr>
        <w:pStyle w:val="Heading2"/>
      </w:pPr>
      <w:r>
        <w:t xml:space="preserve">Variations</w:t>
      </w:r>
    </w:p>
    <w:bookmarkStart w:id="19" w:name="by-clergy-relationship"/>
    <w:p>
      <w:pPr>
        <w:pStyle w:val="Heading3"/>
      </w:pPr>
      <w:r>
        <w:t xml:space="preserve">By clergy relationship</w:t>
      </w:r>
    </w:p>
    <w:p>
      <w:pPr>
        <w:pStyle w:val="FirstParagraph"/>
      </w:pPr>
      <w:r>
        <w:t xml:space="preserve">Everything above holds. What changes is who initiates the appointment, what the</w:t>
      </w:r>
      <w:r>
        <w:t xml:space="preserve"> </w:t>
      </w:r>
      <w:r>
        <w:t xml:space="preserve">pastor is authorized to do, and how much of the church’s job is</w:t>
      </w:r>
      <w:r>
        <w:t xml:space="preserve"> </w:t>
      </w:r>
      <w:r>
        <w:rPr>
          <w:i/>
          <w:iCs/>
        </w:rPr>
        <w:t xml:space="preserve">formation</w:t>
      </w:r>
      <w:r>
        <w:t xml:space="preserve"> </w:t>
      </w:r>
      <w:r>
        <w:t xml:space="preserve">rather</w:t>
      </w:r>
      <w:r>
        <w:t xml:space="preserve"> </w:t>
      </w:r>
      <w:r>
        <w:t xml:space="preserve">than welcome. Churches routinely treat all of these identically and then are</w:t>
      </w:r>
      <w:r>
        <w:t xml:space="preserve"> </w:t>
      </w:r>
      <w:r>
        <w:t xml:space="preserve">puzzled by the parts that don’t fit.</w:t>
      </w:r>
    </w:p>
    <w:p>
      <w:pPr>
        <w:pStyle w:val="BodyText"/>
      </w:pPr>
      <w:r>
        <w:rPr>
          <w:b/>
          <w:bCs/>
        </w:rPr>
        <w:t xml:space="preserve">Elder in full connection.</w:t>
      </w:r>
      <w:r>
        <w:t xml:space="preserve"> </w:t>
      </w:r>
      <w:r>
        <w:t xml:space="preserve">The baseline this page assumes. Appointed by the</w:t>
      </w:r>
      <w:r>
        <w:t xml:space="preserve"> </w:t>
      </w:r>
      <w:r>
        <w:t xml:space="preserve">bishop under itineracy, and required to accept the appointment (¶338); full-time</w:t>
      </w:r>
      <w:r>
        <w:t xml:space="preserve"> </w:t>
      </w:r>
      <w:r>
        <w:t xml:space="preserve">service is the norm (¶338.1). Sacramental authority comes with ordination and is</w:t>
      </w:r>
      <w:r>
        <w:t xml:space="preserve"> </w:t>
      </w:r>
      <w:r>
        <w:t xml:space="preserve">not tied to your charge.</w:t>
      </w:r>
    </w:p>
    <w:p>
      <w:pPr>
        <w:pStyle w:val="BodyText"/>
      </w:pPr>
      <w:r>
        <w:rPr>
          <w:b/>
          <w:bCs/>
        </w:rPr>
        <w:t xml:space="preserve">Provisional elder.</w:t>
      </w:r>
      <w:r>
        <w:t xml:space="preserve"> </w:t>
      </w:r>
      <w:r>
        <w:t xml:space="preserve">Appointed by the bishop, and serving a provisional period of</w:t>
      </w:r>
      <w:r>
        <w:t xml:space="preserve"> </w:t>
      </w:r>
      <w:r>
        <w:t xml:space="preserve">at least two years, during which the Board of Ordained Ministry provides a</w:t>
      </w:r>
      <w:r>
        <w:t xml:space="preserve"> </w:t>
      </w:r>
      <w:r>
        <w:rPr>
          <w:b/>
          <w:bCs/>
        </w:rPr>
        <w:t xml:space="preserve">residency curriculum</w:t>
      </w:r>
      <w:r>
        <w:t xml:space="preserve"> </w:t>
      </w:r>
      <w:r>
        <w:t xml:space="preserve">with covenant groups and mentoring; their service is</w:t>
      </w:r>
      <w:r>
        <w:t xml:space="preserve"> </w:t>
      </w:r>
      <w:r>
        <w:t xml:space="preserve">evaluated by the district superintendent and the Board (¶326). Critically, they</w:t>
      </w:r>
      <w:r>
        <w:t xml:space="preserve"> </w:t>
      </w:r>
      <w:r>
        <w:t xml:space="preserve">serve under a</w:t>
      </w:r>
      <w:r>
        <w:t xml:space="preserve"> </w:t>
      </w:r>
      <w:r>
        <w:rPr>
          <w:b/>
          <w:bCs/>
        </w:rPr>
        <w:t xml:space="preserve">license</w:t>
      </w:r>
      <w:r>
        <w:t xml:space="preserve"> </w:t>
      </w:r>
      <w:r>
        <w:t xml:space="preserve">from the bishop authorizing pastoral duties including the</w:t>
      </w:r>
      <w:r>
        <w:t xml:space="preserve"> </w:t>
      </w:r>
      <w:r>
        <w:t xml:space="preserve">sacraments</w:t>
      </w:r>
      <w:r>
        <w:t xml:space="preserve"> </w:t>
      </w:r>
      <w:r>
        <w:rPr>
          <w:b/>
          <w:bCs/>
        </w:rPr>
        <w:t xml:space="preserve">within and while appointed to that charge</w:t>
      </w:r>
      <w:r>
        <w:t xml:space="preserve"> </w:t>
      </w:r>
      <w:r>
        <w:t xml:space="preserve">— and it is renewed</w:t>
      </w:r>
      <w:r>
        <w:t xml:space="preserve"> </w:t>
      </w:r>
      <w:r>
        <w:t xml:space="preserve">annually (¶317.1–.2).</w:t>
      </w:r>
    </w:p>
    <w:p>
      <w:pPr>
        <w:pStyle w:val="BodyText"/>
      </w:pPr>
      <w:r>
        <w:t xml:space="preserve">What this changes for the church: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The SPRC is part of a formation process, not just a personnel committee.</w:t>
      </w:r>
      <w:r>
        <w:t xml:space="preserve"> </w:t>
      </w:r>
      <w:r>
        <w:t xml:space="preserve">¶258.2</w:t>
      </w:r>
      <w:r>
        <w:t xml:space="preserve"> </w:t>
      </w:r>
      <w:r>
        <w:t xml:space="preserve">already directs SPRC to interpret the preparation for ordained ministry to the</w:t>
      </w:r>
      <w:r>
        <w:t xml:space="preserve"> </w:t>
      </w:r>
      <w:r>
        <w:t xml:space="preserve">congregation (¶258.2g.6) and to interview, evaluate, and recommend candidates for</w:t>
      </w:r>
      <w:r>
        <w:t xml:space="preserve"> </w:t>
      </w:r>
      <w:r>
        <w:t xml:space="preserve">licensed and ordained ministry (¶258.2g.9). With a provisional pastor in the</w:t>
      </w:r>
      <w:r>
        <w:t xml:space="preserve"> </w:t>
      </w:r>
      <w:r>
        <w:t xml:space="preserve">pulpit, that stops being abstract: what your committee says feeds a process that</w:t>
      </w:r>
      <w:r>
        <w:t xml:space="preserve"> </w:t>
      </w:r>
      <w:r>
        <w:t xml:space="preserve">determines whether this person is ordained.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Protect the residency time.</w:t>
      </w:r>
      <w:r>
        <w:t xml:space="preserve"> </w:t>
      </w:r>
      <w:r>
        <w:t xml:space="preserve">Covenant groups, mentoring, and required events</w:t>
      </w:r>
      <w:r>
        <w:t xml:space="preserve"> </w:t>
      </w:r>
      <w:r>
        <w:t xml:space="preserve">are not optional continuing education to be squeezed around the church calendar.</w:t>
      </w:r>
      <w:r>
        <w:t xml:space="preserve"> </w:t>
      </w:r>
      <w:r>
        <w:t xml:space="preserve">Put the dates in the church calendar before the church calendar fills.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Evaluate honestly and early.</w:t>
      </w:r>
      <w:r>
        <w:t xml:space="preserve"> </w:t>
      </w:r>
      <w:r>
        <w:t xml:space="preserve">A committee that says only encouraging things for</w:t>
      </w:r>
      <w:r>
        <w:t xml:space="preserve"> </w:t>
      </w:r>
      <w:r>
        <w:t xml:space="preserve">three years and then raises a concern in year four has failed the pastor, not</w:t>
      </w:r>
      <w:r>
        <w:t xml:space="preserve"> </w:t>
      </w:r>
      <w:r>
        <w:t xml:space="preserve">served them.</w:t>
      </w:r>
    </w:p>
    <w:p>
      <w:pPr>
        <w:pStyle w:val="FirstParagraph"/>
      </w:pPr>
      <w:r>
        <w:rPr>
          <w:b/>
          <w:bCs/>
        </w:rPr>
        <w:t xml:space="preserve">Provisional deacon.</w:t>
      </w:r>
      <w:r>
        <w:t xml:space="preserve"> </w:t>
      </w:r>
      <w:r>
        <w:t xml:space="preserve">Commissioned, and serving in ministries of Word, Service,</w:t>
      </w:r>
      <w:r>
        <w:t xml:space="preserve"> </w:t>
      </w:r>
      <w:r>
        <w:t xml:space="preserve">Compassion, and Justice, in the local church or an approved appointment beyond it</w:t>
      </w:r>
      <w:r>
        <w:t xml:space="preserve"> </w:t>
      </w:r>
      <w:r>
        <w:t xml:space="preserve">(¶326.1), with the same residency and evaluation structure. If the appointment is</w:t>
      </w:r>
      <w:r>
        <w:t xml:space="preserve"> </w:t>
      </w:r>
      <w:r>
        <w:t xml:space="preserve">part-time or shared with another setting, agree in writing which hours belong to</w:t>
      </w:r>
      <w:r>
        <w:t xml:space="preserve"> </w:t>
      </w:r>
      <w:r>
        <w:t xml:space="preserve">you — this is where provisional deacons get quietly overcommitted.</w:t>
      </w:r>
    </w:p>
    <w:p>
      <w:pPr>
        <w:pStyle w:val="BodyText"/>
      </w:pPr>
      <w:r>
        <w:rPr>
          <w:b/>
          <w:bCs/>
        </w:rPr>
        <w:t xml:space="preserve">Deacon in full connection.</w:t>
      </w:r>
      <w:r>
        <w:t xml:space="preserve"> </w:t>
      </w:r>
      <w:r>
        <w:t xml:space="preserve">Appointed by the bishop in the conference where they</w:t>
      </w:r>
      <w:r>
        <w:t xml:space="preserve"> </w:t>
      </w:r>
      <w:r>
        <w:t xml:space="preserve">hold membership, but — and this is the difference churches miss —</w:t>
      </w:r>
      <w:r>
        <w:t xml:space="preserve"> </w:t>
      </w:r>
      <w:r>
        <w:rPr>
          <w:b/>
          <w:bCs/>
        </w:rPr>
        <w:t xml:space="preserve">the appointment</w:t>
      </w:r>
      <w:r>
        <w:rPr>
          <w:b/>
          <w:bCs/>
        </w:rPr>
        <w:t xml:space="preserve"> </w:t>
      </w:r>
      <w:r>
        <w:rPr>
          <w:b/>
          <w:bCs/>
        </w:rPr>
        <w:t xml:space="preserve">may be initiated by the deacon themselves</w:t>
      </w:r>
      <w:r>
        <w:t xml:space="preserve">, or by the agency seeking their</w:t>
      </w:r>
      <w:r>
        <w:t xml:space="preserve"> </w:t>
      </w:r>
      <w:r>
        <w:t xml:space="preserve">service, as well as by the bishop or DS (¶430). Deacons are not itinerant in the way</w:t>
      </w:r>
      <w:r>
        <w:t xml:space="preserve"> </w:t>
      </w:r>
      <w:r>
        <w:t xml:space="preserve">elders are. Practically:</w:t>
      </w:r>
    </w:p>
    <w:p>
      <w:pPr>
        <w:pStyle w:val="Compact"/>
        <w:numPr>
          <w:ilvl w:val="0"/>
          <w:numId w:val="1025"/>
        </w:numPr>
      </w:pPr>
      <w:r>
        <w:t xml:space="preserve">A deacon may well have found</w:t>
      </w:r>
      <w:r>
        <w:t xml:space="preserve"> </w:t>
      </w:r>
      <w:r>
        <w:rPr>
          <w:i/>
          <w:iCs/>
        </w:rPr>
        <w:t xml:space="preserve">you</w:t>
      </w:r>
      <w:r>
        <w:t xml:space="preserve">, or be serving your church alongside another</w:t>
      </w:r>
      <w:r>
        <w:t xml:space="preserve"> </w:t>
      </w:r>
      <w:r>
        <w:t xml:space="preserve">appointment. Ask what the whole picture is.</w:t>
      </w:r>
    </w:p>
    <w:p>
      <w:pPr>
        <w:pStyle w:val="Compact"/>
        <w:numPr>
          <w:ilvl w:val="0"/>
          <w:numId w:val="1025"/>
        </w:numPr>
      </w:pPr>
      <w:r>
        <w:t xml:space="preserve">A deacon’s ministry is Word, Service, Compassion, and Justice (¶328) — it is not</w:t>
      </w:r>
      <w:r>
        <w:t xml:space="preserve"> </w:t>
      </w:r>
      <w:r>
        <w:t xml:space="preserve">a junior version of an elder’s. Writing their role as</w:t>
      </w:r>
      <w:r>
        <w:t xml:space="preserve"> </w:t>
      </w:r>
      <w:r>
        <w:t xml:space="preserve">“associate pastor who also</w:t>
      </w:r>
      <w:r>
        <w:t xml:space="preserve"> </w:t>
      </w:r>
      <w:r>
        <w:t xml:space="preserve">does missions”</w:t>
      </w:r>
      <w:r>
        <w:t xml:space="preserve"> </w:t>
      </w:r>
      <w:r>
        <w:t xml:space="preserve">misdescribes the order.</w:t>
      </w:r>
    </w:p>
    <w:p>
      <w:pPr>
        <w:pStyle w:val="Compact"/>
        <w:numPr>
          <w:ilvl w:val="0"/>
          <w:numId w:val="1025"/>
        </w:numPr>
      </w:pPr>
      <w:r>
        <w:t xml:space="preserve">Sacramental expectations differ. Do not assume; ask, and put the answer in</w:t>
      </w:r>
      <w:r>
        <w:t xml:space="preserve"> </w:t>
      </w:r>
      <w:r>
        <w:t xml:space="preserve">writing so nobody is surprised at a funeral.</w:t>
      </w:r>
    </w:p>
    <w:p>
      <w:pPr>
        <w:pStyle w:val="FirstParagraph"/>
      </w:pPr>
      <w:r>
        <w:rPr>
          <w:b/>
          <w:bCs/>
        </w:rPr>
        <w:t xml:space="preserve">Local pastor (licensed).</w:t>
      </w:r>
      <w:r>
        <w:t xml:space="preserve"> </w:t>
      </w:r>
      <w:r>
        <w:t xml:space="preserve">Licensed rather than ordained, and the license is</w:t>
      </w:r>
      <w:r>
        <w:t xml:space="preserve"> </w:t>
      </w:r>
      <w:r>
        <w:rPr>
          <w:b/>
          <w:bCs/>
        </w:rPr>
        <w:t xml:space="preserve">awarded only upon appointment to a pastoral charge</w:t>
      </w:r>
      <w:r>
        <w:t xml:space="preserve"> </w:t>
      </w:r>
      <w:r>
        <w:t xml:space="preserve">(¶318). Authority to perform</w:t>
      </w:r>
      <w:r>
        <w:t xml:space="preserve"> </w:t>
      </w:r>
      <w:r>
        <w:t xml:space="preserve">pastoral duties including the sacraments exists</w:t>
      </w:r>
      <w:r>
        <w:t xml:space="preserve"> </w:t>
      </w:r>
      <w:r>
        <w:rPr>
          <w:b/>
          <w:bCs/>
        </w:rPr>
        <w:t xml:space="preserve">within and while appointed to</w:t>
      </w:r>
      <w:r>
        <w:rPr>
          <w:b/>
          <w:bCs/>
        </w:rPr>
        <w:t xml:space="preserve"> </w:t>
      </w:r>
      <w:r>
        <w:rPr>
          <w:b/>
          <w:bCs/>
        </w:rPr>
        <w:t xml:space="preserve">that charge</w:t>
      </w:r>
      <w:r>
        <w:t xml:space="preserve">, and is renewed annually (¶317.1–.2). Categories are full-time,</w:t>
      </w:r>
      <w:r>
        <w:t xml:space="preserve"> </w:t>
      </w:r>
      <w:r>
        <w:t xml:space="preserve">part-time, and student, each with its own education and compensation requirements</w:t>
      </w:r>
      <w:r>
        <w:t xml:space="preserve"> </w:t>
      </w:r>
      <w:r>
        <w:t xml:space="preserve">(¶318).</w:t>
      </w:r>
    </w:p>
    <w:p>
      <w:pPr>
        <w:pStyle w:val="BodyText"/>
      </w:pPr>
      <w:r>
        <w:t xml:space="preserve">What this changes: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Course of Study is a real, continuing obligation.</w:t>
      </w:r>
      <w:r>
        <w:t xml:space="preserve"> </w:t>
      </w:r>
      <w:r>
        <w:t xml:space="preserve">Build it into the schedule</w:t>
      </w:r>
      <w:r>
        <w:t xml:space="preserve"> </w:t>
      </w:r>
      <w:r>
        <w:t xml:space="preserve">and the budget from the first month rather than discovering it in year two.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The license is annual.</w:t>
      </w:r>
      <w:r>
        <w:t xml:space="preserve"> </w:t>
      </w:r>
      <w:r>
        <w:t xml:space="preserve">Someone at the church should know when it renews.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Part-time means part-time.</w:t>
      </w:r>
      <w:r>
        <w:t xml:space="preserve"> </w:t>
      </w:r>
      <w:r>
        <w:t xml:space="preserve">¶318’s categories are tied to compensation levels;</w:t>
      </w:r>
      <w:r>
        <w:t xml:space="preserve"> </w:t>
      </w:r>
      <w:r>
        <w:t xml:space="preserve">a church paying at the part-time level and expecting full-time presence is not</w:t>
      </w:r>
      <w:r>
        <w:t xml:space="preserve"> </w:t>
      </w:r>
      <w:r>
        <w:t xml:space="preserve">having a misunderstanding, it is having a disagreement.</w:t>
      </w:r>
    </w:p>
    <w:p>
      <w:pPr>
        <w:pStyle w:val="FirstParagraph"/>
      </w:pPr>
      <w:r>
        <w:rPr>
          <w:b/>
          <w:bCs/>
        </w:rPr>
        <w:t xml:space="preserve">Retired clergy under appointment.</w:t>
      </w:r>
      <w:r>
        <w:t xml:space="preserve"> </w:t>
      </w:r>
      <w:r>
        <w:t xml:space="preserve">Retired clergy may serve under appointment,</w:t>
      </w:r>
      <w:r>
        <w:t xml:space="preserve"> </w:t>
      </w:r>
      <w:r>
        <w:t xml:space="preserve">and retired clergy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appointed to a charge hold their seat in the charge</w:t>
      </w:r>
      <w:r>
        <w:t xml:space="preserve"> </w:t>
      </w:r>
      <w:r>
        <w:t xml:space="preserve">conference where they elect membership (¶358.5a). Compensation, pension, and</w:t>
      </w:r>
      <w:r>
        <w:t xml:space="preserve"> </w:t>
      </w:r>
      <w:r>
        <w:t xml:space="preserve">Social Security interact in ways that are genuinely specific — confirm the</w:t>
      </w:r>
      <w:r>
        <w:t xml:space="preserve"> </w:t>
      </w:r>
      <w:r>
        <w:t xml:space="preserve">arrangement with your conference benefits officer</w:t>
      </w:r>
      <w:r>
        <w:t xml:space="preserve"> </w:t>
      </w:r>
      <w:r>
        <w:rPr>
          <w:b/>
          <w:bCs/>
        </w:rPr>
        <w:t xml:space="preserve">before</w:t>
      </w:r>
      <w:r>
        <w:t xml:space="preserve"> </w:t>
      </w:r>
      <w:r>
        <w:t xml:space="preserve">the first payroll, not</w:t>
      </w:r>
      <w:r>
        <w:t xml:space="preserve"> </w:t>
      </w:r>
      <w:r>
        <w:t xml:space="preserve">after.</w:t>
      </w:r>
    </w:p>
    <w:p>
      <w:pPr>
        <w:pStyle w:val="BodyText"/>
      </w:pPr>
      <w:r>
        <w:rPr>
          <w:b/>
          <w:bCs/>
        </w:rPr>
        <w:t xml:space="preserve">Associate pastors.</w:t>
      </w:r>
      <w:r>
        <w:t xml:space="preserve"> </w:t>
      </w:r>
      <w:r>
        <w:t xml:space="preserve">¶258.2g(7) directs SPRC to develop and approve written job</w:t>
      </w:r>
      <w:r>
        <w:t xml:space="preserve"> </w:t>
      </w:r>
      <w:r>
        <w:t xml:space="preserve">descriptions for associate pastors in cooperation with the senior pastor, and the</w:t>
      </w:r>
      <w:r>
        <w:t xml:space="preserve"> </w:t>
      </w:r>
      <w:r>
        <w:t xml:space="preserve">Discipline notes</w:t>
      </w:r>
      <w:r>
        <w:t xml:space="preserve"> </w:t>
      </w:r>
      <w:r>
        <w:t xml:space="preserve">“associate pastor”</w:t>
      </w:r>
      <w:r>
        <w:t xml:space="preserve"> </w:t>
      </w:r>
      <w:r>
        <w:t xml:space="preserve">is a general term for any pastoral appointment</w:t>
      </w:r>
      <w:r>
        <w:t xml:space="preserve"> </w:t>
      </w:r>
      <w:r>
        <w:t xml:space="preserve">other than the pastor in charge (¶339). Write the job description. The most common</w:t>
      </w:r>
      <w:r>
        <w:t xml:space="preserve"> </w:t>
      </w:r>
      <w:r>
        <w:t xml:space="preserve">associate-pastor failure is not conflict; it is never having agreed what the job</w:t>
      </w:r>
      <w:r>
        <w:t xml:space="preserve"> </w:t>
      </w:r>
      <w:r>
        <w:t xml:space="preserve">was.</w:t>
      </w:r>
    </w:p>
    <w:bookmarkEnd w:id="19"/>
    <w:bookmarkStart w:id="20" w:name="by-situation"/>
    <w:p>
      <w:pPr>
        <w:pStyle w:val="Heading3"/>
      </w:pPr>
      <w:r>
        <w:t xml:space="preserve">By situation</w:t>
      </w:r>
    </w:p>
    <w:p>
      <w:pPr>
        <w:pStyle w:val="FirstParagraph"/>
      </w:pPr>
      <w:r>
        <w:rPr>
          <w:b/>
          <w:bCs/>
        </w:rPr>
        <w:t xml:space="preserve">No parsonage (housing allowance instead).</w:t>
      </w:r>
      <w:r>
        <w:t xml:space="preserve"> </w:t>
      </w:r>
      <w:r>
        <w:t xml:space="preserve">Phase 2’s parsonage tasks fall away,</w:t>
      </w:r>
      <w:r>
        <w:t xml:space="preserve"> </w:t>
      </w:r>
      <w:r>
        <w:t xml:space="preserve">but the church still owes clarity: what the allowance is, when it is set, and that</w:t>
      </w:r>
      <w:r>
        <w:t xml:space="preserve"> </w:t>
      </w:r>
      <w:r>
        <w:t xml:space="preserve">it was properly designated in advance by official action — a housing allowance</w:t>
      </w:r>
      <w:r>
        <w:t xml:space="preserve"> </w:t>
      </w:r>
      <w:r>
        <w:t xml:space="preserve">designated after the fact generally doesn’t work for tax purposes. Flag it to your</w:t>
      </w:r>
      <w:r>
        <w:t xml:space="preserve"> </w:t>
      </w:r>
      <w:r>
        <w:t xml:space="preserve">treasurer and conference; don’t improvise it.</w:t>
      </w:r>
    </w:p>
    <w:p>
      <w:pPr>
        <w:pStyle w:val="BodyText"/>
      </w:pPr>
      <w:r>
        <w:rPr>
          <w:b/>
          <w:bCs/>
        </w:rPr>
        <w:t xml:space="preserve">Part-time or less-than-full-time appointment</w:t>
      </w:r>
      <w:r>
        <w:t xml:space="preserve"> </w:t>
      </w:r>
      <w:r>
        <w:t xml:space="preserve">(¶338.2). Everything above still</w:t>
      </w:r>
      <w:r>
        <w:t xml:space="preserve"> </w:t>
      </w:r>
      <w:r>
        <w:t xml:space="preserve">happens, but the expectations conversation in Phase 4 becomes the most important</w:t>
      </w:r>
      <w:r>
        <w:t xml:space="preserve"> </w:t>
      </w:r>
      <w:r>
        <w:t xml:space="preserve">item on this page rather than one of several. Write down what a quarter-, half-, or</w:t>
      </w:r>
      <w:r>
        <w:t xml:space="preserve"> </w:t>
      </w:r>
      <w:r>
        <w:t xml:space="preserve">three-quarter-time appointment means in hours and in duties, and revisit it at six</w:t>
      </w:r>
      <w:r>
        <w:t xml:space="preserve"> </w:t>
      </w:r>
      <w:r>
        <w:t xml:space="preserve">months, because it is the thing that quietly expands.</w:t>
      </w:r>
    </w:p>
    <w:p>
      <w:pPr>
        <w:pStyle w:val="BodyText"/>
      </w:pPr>
      <w:r>
        <w:rPr>
          <w:b/>
          <w:bCs/>
        </w:rPr>
        <w:t xml:space="preserve">Multi-point charge.</w:t>
      </w:r>
      <w:r>
        <w:t xml:space="preserve"> </w:t>
      </w:r>
      <w:r>
        <w:t xml:space="preserve">Every church on the charge does Phase 3’s introductions,</w:t>
      </w:r>
      <w:r>
        <w:t xml:space="preserve"> </w:t>
      </w:r>
      <w:r>
        <w:t xml:space="preserve">and the expectations conversation happens with all the SPRCs together at least</w:t>
      </w:r>
      <w:r>
        <w:t xml:space="preserve"> </w:t>
      </w:r>
      <w:r>
        <w:t xml:space="preserve">once. Note that clergy appointed to multiple-staff settings have direct access to</w:t>
      </w:r>
      <w:r>
        <w:t xml:space="preserve"> </w:t>
      </w:r>
      <w:r>
        <w:t xml:space="preserve">the bishop, cabinet, and SPRC as well as to the pastor in charge (¶338).</w:t>
      </w:r>
    </w:p>
    <w:p>
      <w:pPr>
        <w:pStyle w:val="BodyText"/>
      </w:pPr>
      <w:r>
        <w:rPr>
          <w:b/>
          <w:bCs/>
        </w:rPr>
        <w:t xml:space="preserve">A first appointment out of seminary.</w:t>
      </w:r>
      <w:r>
        <w:t xml:space="preserve"> </w:t>
      </w:r>
      <w:r>
        <w:t xml:space="preserve">Add a mentor, and be more explicit than</w:t>
      </w:r>
      <w:r>
        <w:t xml:space="preserve"> </w:t>
      </w:r>
      <w:r>
        <w:t xml:space="preserve">feels necessary about local practice — how funerals are handled here, who gets</w:t>
      </w:r>
      <w:r>
        <w:t xml:space="preserve"> </w:t>
      </w:r>
      <w:r>
        <w:t xml:space="preserve">called first when someone is hospitalized, what the church expects at Christmas Eve.</w:t>
      </w:r>
      <w:r>
        <w:t xml:space="preserve"> </w:t>
      </w:r>
      <w:r>
        <w:t xml:space="preserve">None of that is in anyone’s job description.</w:t>
      </w:r>
    </w:p>
    <w:p>
      <w:pPr>
        <w:pStyle w:val="BodyText"/>
      </w:pPr>
      <w:r>
        <w:rPr>
          <w:b/>
          <w:bCs/>
        </w:rPr>
        <w:t xml:space="preserve">An interim or supply arrangement.</w:t>
      </w:r>
      <w:r>
        <w:t xml:space="preserve"> </w:t>
      </w:r>
      <w:r>
        <w:t xml:space="preserve">Compress phases 1–2 and do them anyway. The</w:t>
      </w:r>
      <w:r>
        <w:t xml:space="preserve"> </w:t>
      </w:r>
      <w:r>
        <w:t xml:space="preserve">temptation is to skip the account and key work because the arrangement is</w:t>
      </w:r>
      <w:r>
        <w:t xml:space="preserve"> </w:t>
      </w:r>
      <w:r>
        <w:t xml:space="preserve">short — which is exactly how an account ends up owned by someone who left in 2019.</w:t>
      </w:r>
    </w:p>
    <w:bookmarkEnd w:id="20"/>
    <w:bookmarkEnd w:id="21"/>
    <w:bookmarkStart w:id="26" w:name="elsewhere"/>
    <w:p>
      <w:pPr>
        <w:pStyle w:val="Heading2"/>
      </w:pPr>
      <w:r>
        <w:t xml:space="preserve">Elsewhere</w:t>
      </w:r>
    </w:p>
    <w:p>
      <w:pPr>
        <w:pStyle w:val="Compact"/>
        <w:numPr>
          <w:ilvl w:val="0"/>
          <w:numId w:val="1027"/>
        </w:numPr>
      </w:pPr>
      <w:hyperlink r:id="rId22">
        <w:r>
          <w:rPr>
            <w:rStyle w:val="Hyperlink"/>
            <w:b/>
            <w:bCs/>
          </w:rPr>
          <w:t xml:space="preserve">Wespath</w:t>
        </w:r>
      </w:hyperlink>
      <w:r>
        <w:t xml:space="preserve"> </w:t>
      </w:r>
      <w:r>
        <w:t xml:space="preserve">— the denomination’s benefits agency;</w:t>
      </w:r>
      <w:r>
        <w:t xml:space="preserve"> </w:t>
      </w:r>
      <w:r>
        <w:t xml:space="preserve">pension and health enrollment for clergy runs through here, via your conference.</w:t>
      </w:r>
    </w:p>
    <w:p>
      <w:pPr>
        <w:pStyle w:val="Compact"/>
        <w:numPr>
          <w:ilvl w:val="0"/>
          <w:numId w:val="1027"/>
        </w:numPr>
      </w:pPr>
      <w:hyperlink r:id="rId23">
        <w:r>
          <w:rPr>
            <w:rStyle w:val="Hyperlink"/>
            <w:b/>
            <w:bCs/>
          </w:rPr>
          <w:t xml:space="preserve">GCFA — Legal Services</w:t>
        </w:r>
      </w:hyperlink>
      <w:r>
        <w:t xml:space="preserve"> </w:t>
      </w:r>
      <w:r>
        <w:t xml:space="preserve">—</w:t>
      </w:r>
      <w:r>
        <w:t xml:space="preserve"> </w:t>
      </w:r>
      <w:r>
        <w:t xml:space="preserve">clergy tax and compensation guidance, including the housing allowance rules this</w:t>
      </w:r>
      <w:r>
        <w:t xml:space="preserve"> </w:t>
      </w:r>
      <w:r>
        <w:t xml:space="preserve">page deliberately doesn’t summarize.</w:t>
      </w:r>
    </w:p>
    <w:p>
      <w:pPr>
        <w:pStyle w:val="Compact"/>
        <w:numPr>
          <w:ilvl w:val="0"/>
          <w:numId w:val="1027"/>
        </w:numPr>
      </w:pPr>
      <w:hyperlink r:id="rId24">
        <w:r>
          <w:rPr>
            <w:rStyle w:val="Hyperlink"/>
            <w:b/>
            <w:bCs/>
          </w:rPr>
          <w:t xml:space="preserve">Lewis Center for Church Leadership</w:t>
        </w:r>
      </w:hyperlink>
      <w:r>
        <w:t xml:space="preserve"> </w:t>
      </w:r>
      <w:r>
        <w:t xml:space="preserve">—</w:t>
      </w:r>
      <w:r>
        <w:t xml:space="preserve"> </w:t>
      </w:r>
      <w:r>
        <w:t xml:space="preserve">research and short practical pieces on clergy transitions and first years.</w:t>
      </w:r>
    </w:p>
    <w:p>
      <w:pPr>
        <w:pStyle w:val="Compact"/>
        <w:numPr>
          <w:ilvl w:val="0"/>
          <w:numId w:val="1027"/>
        </w:numPr>
      </w:pPr>
      <w:hyperlink r:id="rId25">
        <w:r>
          <w:rPr>
            <w:rStyle w:val="Hyperlink"/>
            <w:b/>
            <w:bCs/>
            <w:i/>
            <w:iCs/>
          </w:rPr>
          <w:t xml:space="preserve">Guidelines: Pastor-Parish Relations</w:t>
        </w:r>
        <w:r>
          <w:rPr>
            <w:rStyle w:val="Hyperlink"/>
            <w:b/>
            <w:bCs/>
          </w:rPr>
          <w:t xml:space="preserve"> </w:t>
        </w:r>
        <w:r>
          <w:rPr>
            <w:rStyle w:val="Hyperlink"/>
            <w:b/>
            <w:bCs/>
          </w:rPr>
          <w:t xml:space="preserve">2025–2028</w:t>
        </w:r>
      </w:hyperlink>
      <w:r>
        <w:t xml:space="preserve"> </w:t>
      </w:r>
      <w:r>
        <w:t xml:space="preserve">— the official UMPH booklet for the committee that owns most of this page.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Your annual conference’s parsonage standards and moving policy.</w:t>
      </w:r>
      <w:r>
        <w:t xml:space="preserve"> </w:t>
      </w:r>
      <w:r>
        <w:t xml:space="preserve">Almost every</w:t>
      </w:r>
      <w:r>
        <w:t xml:space="preserve"> </w:t>
      </w:r>
      <w:r>
        <w:t xml:space="preserve">conference publishes both, they are more specific than the Discipline, and they</w:t>
      </w:r>
      <w:r>
        <w:t xml:space="preserve"> </w:t>
      </w:r>
      <w:r>
        <w:t xml:space="preserve">settle most of the arguments in Phase 2. Ask your district office first.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https://itineracy.app/commons/workflows/clergy-onboarding/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/committees/sprc" TargetMode="External" /><Relationship Type="http://schemas.openxmlformats.org/officeDocument/2006/relationships/hyperlink" Id="rId10" Target="/forms/key-log" TargetMode="External" /><Relationship Type="http://schemas.openxmlformats.org/officeDocument/2006/relationships/hyperlink" Id="rId9" Target="/workflows/staff-onboarding" TargetMode="External" /><Relationship Type="http://schemas.openxmlformats.org/officeDocument/2006/relationships/hyperlink" Id="rId24" Target="https://www.churchleadership.com/" TargetMode="External" /><Relationship Type="http://schemas.openxmlformats.org/officeDocument/2006/relationships/hyperlink" Id="rId25" Target="https://www.cokesbury.com/Guidelines-Pastor-Parish-Relations-2025-2028" TargetMode="External" /><Relationship Type="http://schemas.openxmlformats.org/officeDocument/2006/relationships/hyperlink" Id="rId23" Target="https://www.gcfa.org/services/legal-services" TargetMode="External" /><Relationship Type="http://schemas.openxmlformats.org/officeDocument/2006/relationships/hyperlink" Id="rId22" Target="https://www.wespath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/committees/sprc" TargetMode="External" /><Relationship Type="http://schemas.openxmlformats.org/officeDocument/2006/relationships/hyperlink" Id="rId10" Target="/forms/key-log" TargetMode="External" /><Relationship Type="http://schemas.openxmlformats.org/officeDocument/2006/relationships/hyperlink" Id="rId9" Target="/workflows/staff-onboarding" TargetMode="External" /><Relationship Type="http://schemas.openxmlformats.org/officeDocument/2006/relationships/hyperlink" Id="rId24" Target="https://www.churchleadership.com/" TargetMode="External" /><Relationship Type="http://schemas.openxmlformats.org/officeDocument/2006/relationships/hyperlink" Id="rId25" Target="https://www.cokesbury.com/Guidelines-Pastor-Parish-Relations-2025-2028" TargetMode="External" /><Relationship Type="http://schemas.openxmlformats.org/officeDocument/2006/relationships/hyperlink" Id="rId23" Target="https://www.gcfa.org/services/legal-services" TargetMode="External" /><Relationship Type="http://schemas.openxmlformats.org/officeDocument/2006/relationships/hyperlink" Id="rId22" Target="https://www.wespath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2026-07-22T23:16:39Z</dcterms:created>
  <dcterms:modified xsi:type="dcterms:W3CDTF">2026-07-22T23:16:39Z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